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延边林区中级法院辖区2019年</w:t>
      </w:r>
      <w:r>
        <w:rPr>
          <w:rFonts w:hint="eastAsia"/>
          <w:b/>
          <w:sz w:val="32"/>
          <w:lang w:eastAsia="zh-CN"/>
        </w:rPr>
        <w:t>第一季度</w:t>
      </w:r>
      <w:r>
        <w:rPr>
          <w:rFonts w:hint="eastAsia"/>
          <w:b/>
          <w:sz w:val="32"/>
        </w:rPr>
        <w:t>司法统计分析报告</w:t>
      </w:r>
    </w:p>
    <w:p>
      <w:pPr>
        <w:ind w:firstLine="643" w:firstLineChars="200"/>
        <w:jc w:val="left"/>
        <w:rPr>
          <w:rFonts w:hint="eastAsia"/>
          <w:b/>
          <w:sz w:val="32"/>
        </w:rPr>
      </w:pPr>
    </w:p>
    <w:p>
      <w:pPr>
        <w:ind w:firstLine="560" w:firstLineChars="200"/>
        <w:jc w:val="left"/>
      </w:pPr>
      <w:bookmarkStart w:id="0" w:name="_GoBack"/>
      <w:bookmarkEnd w:id="0"/>
      <w:r>
        <w:rPr>
          <w:rFonts w:ascii="宋体" w:eastAsia="宋体"/>
          <w:sz w:val="28"/>
        </w:rPr>
        <w:t>2019年01月至2019年03月延边林区中级法院辖区内,全部案件数</w:t>
      </w:r>
      <w:r>
        <w:rPr>
          <w:rFonts w:ascii="宋体" w:eastAsia="宋体"/>
          <w:color w:val="FF0000"/>
          <w:sz w:val="28"/>
        </w:rPr>
        <w:t>861</w:t>
      </w:r>
      <w:r>
        <w:rPr>
          <w:rFonts w:ascii="宋体" w:eastAsia="宋体"/>
          <w:sz w:val="28"/>
        </w:rPr>
        <w:t>件,全部新收案件数</w:t>
      </w:r>
      <w:r>
        <w:rPr>
          <w:rFonts w:ascii="宋体" w:eastAsia="宋体"/>
          <w:color w:val="FF0000"/>
          <w:sz w:val="28"/>
        </w:rPr>
        <w:t>649</w:t>
      </w:r>
      <w:r>
        <w:rPr>
          <w:rFonts w:ascii="宋体" w:eastAsia="宋体"/>
          <w:sz w:val="28"/>
        </w:rPr>
        <w:t>件,同比</w:t>
      </w:r>
      <w:r>
        <w:rPr>
          <w:rFonts w:ascii="宋体" w:eastAsia="宋体"/>
          <w:color w:val="FF0000"/>
          <w:sz w:val="28"/>
        </w:rPr>
        <w:t>656</w:t>
      </w:r>
      <w:r>
        <w:rPr>
          <w:rFonts w:ascii="宋体" w:eastAsia="宋体"/>
          <w:sz w:val="28"/>
        </w:rPr>
        <w:t>件,同比下降</w:t>
      </w:r>
      <w:r>
        <w:rPr>
          <w:rFonts w:ascii="宋体" w:eastAsia="宋体"/>
          <w:color w:val="FF0000"/>
          <w:sz w:val="28"/>
        </w:rPr>
        <w:t>1.1%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591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9.8%</w:t>
      </w:r>
      <w:r>
        <w:rPr>
          <w:rFonts w:ascii="宋体" w:eastAsia="宋体"/>
          <w:sz w:val="28"/>
        </w:rPr>
        <w:t>;全部旧存案件数</w:t>
      </w:r>
      <w:r>
        <w:rPr>
          <w:rFonts w:ascii="宋体" w:eastAsia="宋体"/>
          <w:color w:val="FF0000"/>
          <w:sz w:val="28"/>
        </w:rPr>
        <w:t>212</w:t>
      </w:r>
      <w:r>
        <w:rPr>
          <w:rFonts w:ascii="宋体" w:eastAsia="宋体"/>
          <w:sz w:val="28"/>
        </w:rPr>
        <w:t>件,同比</w:t>
      </w:r>
      <w:r>
        <w:rPr>
          <w:rFonts w:ascii="宋体" w:eastAsia="宋体"/>
          <w:color w:val="FF0000"/>
          <w:sz w:val="28"/>
        </w:rPr>
        <w:t>210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422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49.8%</w:t>
      </w:r>
      <w:r>
        <w:rPr>
          <w:rFonts w:ascii="宋体" w:eastAsia="宋体"/>
          <w:sz w:val="28"/>
        </w:rPr>
        <w:t>;全部案件结案率</w:t>
      </w:r>
      <w:r>
        <w:rPr>
          <w:rFonts w:ascii="宋体" w:eastAsia="宋体"/>
          <w:color w:val="FF0000"/>
          <w:sz w:val="28"/>
        </w:rPr>
        <w:t>61.8%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42.4%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45.8%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79.1%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21.9%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全部新收案件中,民间借贷纠纷类案件</w:t>
      </w:r>
      <w:r>
        <w:rPr>
          <w:rFonts w:ascii="宋体" w:eastAsia="宋体"/>
          <w:color w:val="FF0000"/>
          <w:sz w:val="28"/>
        </w:rPr>
        <w:t>59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29.9%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68</w:t>
      </w:r>
      <w:r>
        <w:rPr>
          <w:rFonts w:ascii="宋体" w:eastAsia="宋体"/>
          <w:sz w:val="28"/>
        </w:rPr>
        <w:t>件,同比下降</w:t>
      </w:r>
      <w:r>
        <w:rPr>
          <w:rFonts w:ascii="宋体" w:eastAsia="宋体"/>
          <w:color w:val="FF0000"/>
          <w:sz w:val="28"/>
        </w:rPr>
        <w:t>13.2%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50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18.0%</w:t>
      </w:r>
      <w:r>
        <w:rPr>
          <w:rFonts w:ascii="宋体" w:eastAsia="宋体"/>
          <w:sz w:val="28"/>
        </w:rPr>
        <w:t>;财产损害赔偿纠纷类案件</w:t>
      </w:r>
      <w:r>
        <w:rPr>
          <w:rFonts w:ascii="宋体" w:eastAsia="宋体"/>
          <w:color w:val="FF0000"/>
          <w:sz w:val="28"/>
        </w:rPr>
        <w:t>45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22.8%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26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73.1%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10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350.0%</w:t>
      </w:r>
      <w:r>
        <w:rPr>
          <w:rFonts w:ascii="宋体" w:eastAsia="宋体"/>
          <w:sz w:val="28"/>
        </w:rPr>
        <w:t>;离婚纠纷类案件</w:t>
      </w:r>
      <w:r>
        <w:rPr>
          <w:rFonts w:ascii="宋体" w:eastAsia="宋体"/>
          <w:color w:val="FF0000"/>
          <w:sz w:val="28"/>
        </w:rPr>
        <w:t>36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18.3%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50</w:t>
      </w:r>
      <w:r>
        <w:rPr>
          <w:rFonts w:ascii="宋体" w:eastAsia="宋体"/>
          <w:sz w:val="28"/>
        </w:rPr>
        <w:t>件,同比下降</w:t>
      </w:r>
      <w:r>
        <w:rPr>
          <w:rFonts w:ascii="宋体" w:eastAsia="宋体"/>
          <w:color w:val="FF0000"/>
          <w:sz w:val="28"/>
        </w:rPr>
        <w:t>28.0%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38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5.3%</w:t>
      </w:r>
      <w:r>
        <w:rPr>
          <w:rFonts w:ascii="宋体" w:eastAsia="宋体"/>
          <w:sz w:val="28"/>
        </w:rPr>
        <w:t>;借款合同纠纷类案件</w:t>
      </w:r>
      <w:r>
        <w:rPr>
          <w:rFonts w:ascii="宋体" w:eastAsia="宋体"/>
          <w:color w:val="FF0000"/>
          <w:sz w:val="28"/>
        </w:rPr>
        <w:t>32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16.2%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5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540.0%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3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966.7%</w:t>
      </w:r>
      <w:r>
        <w:rPr>
          <w:rFonts w:ascii="宋体" w:eastAsia="宋体"/>
          <w:sz w:val="28"/>
        </w:rPr>
        <w:t>;买卖合同纠纷类案件</w:t>
      </w:r>
      <w:r>
        <w:rPr>
          <w:rFonts w:ascii="宋体" w:eastAsia="宋体"/>
          <w:color w:val="FF0000"/>
          <w:sz w:val="28"/>
        </w:rPr>
        <w:t>25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12.7%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19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31.6%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30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16.7%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全部旧存案件中,民间借贷纠纷类案件</w:t>
      </w:r>
      <w:r>
        <w:rPr>
          <w:rFonts w:ascii="宋体" w:eastAsia="宋体"/>
          <w:color w:val="FF0000"/>
          <w:sz w:val="28"/>
        </w:rPr>
        <w:t>21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29.2%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13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61.5%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31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32.3%</w:t>
      </w:r>
      <w:r>
        <w:rPr>
          <w:rFonts w:ascii="宋体" w:eastAsia="宋体"/>
          <w:sz w:val="28"/>
        </w:rPr>
        <w:t>;财产损害赔偿纠纷类案件</w:t>
      </w:r>
      <w:r>
        <w:rPr>
          <w:rFonts w:ascii="宋体" w:eastAsia="宋体"/>
          <w:color w:val="FF0000"/>
          <w:sz w:val="28"/>
        </w:rPr>
        <w:t>7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9.7%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2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250.0%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23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69.6%</w:t>
      </w:r>
      <w:r>
        <w:rPr>
          <w:rFonts w:ascii="宋体" w:eastAsia="宋体"/>
          <w:sz w:val="28"/>
        </w:rPr>
        <w:t>;离婚纠纷类案件</w:t>
      </w:r>
      <w:r>
        <w:rPr>
          <w:rFonts w:ascii="宋体" w:eastAsia="宋体"/>
          <w:color w:val="FF0000"/>
          <w:sz w:val="28"/>
        </w:rPr>
        <w:t>15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20.8%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150.0%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14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7.1%</w:t>
      </w:r>
      <w:r>
        <w:rPr>
          <w:rFonts w:ascii="宋体" w:eastAsia="宋体"/>
          <w:sz w:val="28"/>
        </w:rPr>
        <w:t>;借款合同纠纷类案件</w:t>
      </w:r>
      <w:r>
        <w:rPr>
          <w:rFonts w:ascii="宋体" w:eastAsia="宋体"/>
          <w:color w:val="FF0000"/>
          <w:sz w:val="28"/>
        </w:rPr>
        <w:t>14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19.4%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133.3%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10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40.0%</w:t>
      </w:r>
      <w:r>
        <w:rPr>
          <w:rFonts w:ascii="宋体" w:eastAsia="宋体"/>
          <w:sz w:val="28"/>
        </w:rPr>
        <w:t>;买卖合同纠纷类案件</w:t>
      </w:r>
      <w:r>
        <w:rPr>
          <w:rFonts w:ascii="宋体" w:eastAsia="宋体"/>
          <w:color w:val="FF0000"/>
          <w:sz w:val="28"/>
        </w:rPr>
        <w:t>15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20.8%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5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200.0%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21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28.6%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全部结案率中,民间借贷纠纷类案件结案率</w:t>
      </w:r>
      <w:r>
        <w:rPr>
          <w:rFonts w:ascii="宋体" w:eastAsia="宋体"/>
          <w:color w:val="FF0000"/>
          <w:sz w:val="28"/>
        </w:rPr>
        <w:t>65%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54.3%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19.7%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74.1%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12.2%</w:t>
      </w:r>
      <w:r>
        <w:rPr>
          <w:rFonts w:ascii="宋体" w:eastAsia="宋体"/>
          <w:sz w:val="28"/>
        </w:rPr>
        <w:t>;财产损害赔偿纠纷类案件结案率</w:t>
      </w:r>
      <w:r>
        <w:rPr>
          <w:rFonts w:ascii="宋体" w:eastAsia="宋体"/>
          <w:color w:val="FF0000"/>
          <w:sz w:val="28"/>
        </w:rPr>
        <w:t>73.1%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10.7%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582.1%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78.8%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7.2%</w:t>
      </w:r>
      <w:r>
        <w:rPr>
          <w:rFonts w:ascii="宋体" w:eastAsia="宋体"/>
          <w:sz w:val="28"/>
        </w:rPr>
        <w:t>;离婚纠纷类案件结案率</w:t>
      </w:r>
      <w:r>
        <w:rPr>
          <w:rFonts w:ascii="宋体" w:eastAsia="宋体"/>
          <w:color w:val="FF0000"/>
          <w:sz w:val="28"/>
        </w:rPr>
        <w:t>76.5%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66.1%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15.7%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71.2%</w:t>
      </w:r>
      <w:r>
        <w:rPr>
          <w:rFonts w:ascii="宋体" w:eastAsia="宋体"/>
          <w:sz w:val="28"/>
        </w:rPr>
        <w:t>,环比增长</w:t>
      </w:r>
      <w:r>
        <w:rPr>
          <w:rFonts w:ascii="宋体" w:eastAsia="宋体"/>
          <w:color w:val="FF0000"/>
          <w:sz w:val="28"/>
        </w:rPr>
        <w:t>7.5%</w:t>
      </w:r>
      <w:r>
        <w:rPr>
          <w:rFonts w:ascii="宋体" w:eastAsia="宋体"/>
          <w:sz w:val="28"/>
        </w:rPr>
        <w:t>;借款合同纠纷类案件结案率</w:t>
      </w:r>
      <w:r>
        <w:rPr>
          <w:rFonts w:ascii="宋体" w:eastAsia="宋体"/>
          <w:color w:val="FF0000"/>
          <w:sz w:val="28"/>
        </w:rPr>
        <w:t>52.2%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9.1%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473.9%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46.2%</w:t>
      </w:r>
      <w:r>
        <w:rPr>
          <w:rFonts w:ascii="宋体" w:eastAsia="宋体"/>
          <w:sz w:val="28"/>
        </w:rPr>
        <w:t>,环比增长</w:t>
      </w:r>
      <w:r>
        <w:rPr>
          <w:rFonts w:ascii="宋体" w:eastAsia="宋体"/>
          <w:color w:val="FF0000"/>
          <w:sz w:val="28"/>
        </w:rPr>
        <w:t>13.0%</w:t>
      </w:r>
      <w:r>
        <w:rPr>
          <w:rFonts w:ascii="宋体" w:eastAsia="宋体"/>
          <w:sz w:val="28"/>
        </w:rPr>
        <w:t>;买卖合同纠纷类案件结案率</w:t>
      </w:r>
      <w:r>
        <w:rPr>
          <w:rFonts w:ascii="宋体" w:eastAsia="宋体"/>
          <w:color w:val="FF0000"/>
          <w:sz w:val="28"/>
        </w:rPr>
        <w:t>65%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45.8%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41.8%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70.6%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7.9%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r>
        <w:drawing>
          <wp:inline distT="0" distB="0" distL="0" distR="0">
            <wp:extent cx="5238750" cy="5238750"/>
            <wp:effectExtent l="0" t="0" r="3810" b="3810"/>
            <wp:docPr id="1" name="图片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14855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2019-11-13T07:59:00Z</dcterms:created>
  <dc:creator>Apache POI</dc:creator>
  <cp:lastModifiedBy>LY&amp;LTW</cp:lastModifiedBy>
  <dcterms:modified xsi:type="dcterms:W3CDTF">2019-11-13T08:00:05Z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