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rPr>
      </w:pPr>
      <w:r>
        <w:rPr>
          <w:rFonts w:hint="eastAsia"/>
          <w:b/>
          <w:bCs/>
          <w:sz w:val="24"/>
          <w:szCs w:val="24"/>
        </w:rPr>
        <w:t>吉林省法院中国审判流程信息公开网审判流程公开情况统计表(1-9月份)</w:t>
      </w:r>
    </w:p>
    <w:p>
      <w:pPr>
        <w:rPr>
          <w:rFonts w:hint="eastAsia"/>
          <w:b/>
          <w:bCs/>
          <w:sz w:val="24"/>
          <w:szCs w:val="24"/>
        </w:rPr>
      </w:pPr>
      <w:r>
        <w:rPr>
          <w:rFonts w:hint="eastAsia"/>
          <w:b/>
          <w:bCs/>
          <w:sz w:val="24"/>
          <w:szCs w:val="24"/>
        </w:rPr>
        <w:t>全省法院中国审判流程信息公开网审判流程信息公开情况统计表(按有效公开率由高至低排列)</w:t>
      </w:r>
    </w:p>
    <w:p>
      <w:pPr>
        <w:rPr>
          <w:rFonts w:hint="eastAsia"/>
          <w:b/>
          <w:bCs/>
          <w:sz w:val="24"/>
          <w:szCs w:val="24"/>
        </w:rPr>
      </w:pPr>
      <w:r>
        <w:rPr>
          <w:rFonts w:hint="eastAsia"/>
          <w:b/>
          <w:bCs/>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6"/>
        <w:gridCol w:w="696"/>
        <w:gridCol w:w="824"/>
        <w:gridCol w:w="831"/>
        <w:gridCol w:w="910"/>
        <w:gridCol w:w="854"/>
        <w:gridCol w:w="848"/>
        <w:gridCol w:w="599"/>
        <w:gridCol w:w="32"/>
        <w:gridCol w:w="779"/>
        <w:gridCol w:w="749"/>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jc w:val="center"/>
        </w:trPr>
        <w:tc>
          <w:tcPr>
            <w:tcW w:w="4404" w:type="dxa"/>
            <w:gridSpan w:val="2"/>
            <w:tcBorders>
              <w:top w:val="nil"/>
              <w:left w:val="nil"/>
              <w:bottom w:val="nil"/>
              <w:right w:val="nil"/>
            </w:tcBorders>
            <w:shd w:val="clear"/>
            <w:vAlign w:val="bottom"/>
          </w:tcPr>
          <w:p>
            <w:pPr>
              <w:rPr>
                <w:rFonts w:hint="eastAsia"/>
                <w:b/>
                <w:bCs/>
                <w:sz w:val="24"/>
                <w:szCs w:val="24"/>
              </w:rPr>
            </w:pPr>
            <w:r>
              <w:rPr>
                <w:rFonts w:hint="eastAsia"/>
                <w:b/>
                <w:bCs/>
                <w:sz w:val="24"/>
                <w:szCs w:val="24"/>
              </w:rPr>
              <w:t>统计区间：2019年1月1日至2019年9月30日</w:t>
            </w:r>
          </w:p>
        </w:tc>
        <w:tc>
          <w:tcPr>
            <w:tcW w:w="1476" w:type="dxa"/>
            <w:tcBorders>
              <w:top w:val="nil"/>
              <w:left w:val="nil"/>
              <w:bottom w:val="nil"/>
              <w:right w:val="nil"/>
            </w:tcBorders>
            <w:shd w:val="clear"/>
            <w:vAlign w:val="bottom"/>
          </w:tcPr>
          <w:p>
            <w:pPr>
              <w:rPr>
                <w:rFonts w:hint="eastAsia"/>
                <w:b/>
                <w:bCs/>
                <w:sz w:val="24"/>
                <w:szCs w:val="24"/>
              </w:rPr>
            </w:pPr>
          </w:p>
        </w:tc>
        <w:tc>
          <w:tcPr>
            <w:tcW w:w="1536" w:type="dxa"/>
            <w:tcBorders>
              <w:top w:val="nil"/>
              <w:left w:val="nil"/>
              <w:bottom w:val="nil"/>
              <w:right w:val="nil"/>
            </w:tcBorders>
            <w:shd w:val="clear"/>
            <w:vAlign w:val="bottom"/>
          </w:tcPr>
          <w:p>
            <w:pPr>
              <w:rPr>
                <w:rFonts w:hint="eastAsia"/>
                <w:b/>
                <w:bCs/>
                <w:sz w:val="24"/>
                <w:szCs w:val="24"/>
              </w:rPr>
            </w:pPr>
          </w:p>
        </w:tc>
        <w:tc>
          <w:tcPr>
            <w:tcW w:w="876" w:type="dxa"/>
            <w:tcBorders>
              <w:top w:val="nil"/>
              <w:left w:val="nil"/>
              <w:bottom w:val="nil"/>
              <w:right w:val="nil"/>
            </w:tcBorders>
            <w:shd w:val="clear"/>
            <w:vAlign w:val="bottom"/>
          </w:tcPr>
          <w:p>
            <w:pPr>
              <w:rPr>
                <w:rFonts w:hint="eastAsia"/>
                <w:b/>
                <w:bCs/>
                <w:sz w:val="24"/>
                <w:szCs w:val="24"/>
              </w:rPr>
            </w:pPr>
          </w:p>
        </w:tc>
        <w:tc>
          <w:tcPr>
            <w:tcW w:w="1716" w:type="dxa"/>
            <w:tcBorders>
              <w:top w:val="nil"/>
              <w:left w:val="nil"/>
              <w:bottom w:val="nil"/>
              <w:right w:val="nil"/>
            </w:tcBorders>
            <w:shd w:val="clear"/>
            <w:vAlign w:val="bottom"/>
          </w:tcPr>
          <w:p>
            <w:pPr>
              <w:rPr>
                <w:rFonts w:hint="eastAsia"/>
                <w:b/>
                <w:bCs/>
                <w:sz w:val="24"/>
                <w:szCs w:val="24"/>
              </w:rPr>
            </w:pPr>
          </w:p>
        </w:tc>
        <w:tc>
          <w:tcPr>
            <w:tcW w:w="1248" w:type="dxa"/>
            <w:tcBorders>
              <w:top w:val="nil"/>
              <w:left w:val="nil"/>
              <w:bottom w:val="nil"/>
              <w:right w:val="nil"/>
            </w:tcBorders>
            <w:shd w:val="clear"/>
            <w:vAlign w:val="bottom"/>
          </w:tcPr>
          <w:p>
            <w:pPr>
              <w:rPr>
                <w:rFonts w:hint="eastAsia"/>
                <w:b/>
                <w:bCs/>
                <w:sz w:val="24"/>
                <w:szCs w:val="24"/>
              </w:rPr>
            </w:pPr>
          </w:p>
        </w:tc>
        <w:tc>
          <w:tcPr>
            <w:tcW w:w="2196" w:type="dxa"/>
            <w:tcBorders>
              <w:top w:val="nil"/>
              <w:left w:val="nil"/>
              <w:bottom w:val="nil"/>
              <w:right w:val="nil"/>
            </w:tcBorders>
            <w:shd w:val="clear"/>
            <w:vAlign w:val="bottom"/>
          </w:tcPr>
          <w:p>
            <w:pPr>
              <w:rPr>
                <w:rFonts w:hint="eastAsia"/>
                <w:b/>
                <w:bCs/>
                <w:sz w:val="24"/>
                <w:szCs w:val="24"/>
              </w:rPr>
            </w:pP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nil"/>
            </w:tcBorders>
            <w:shd w:val="clear"/>
            <w:vAlign w:val="bottom"/>
          </w:tcPr>
          <w:p>
            <w:pPr>
              <w:rPr>
                <w:rFonts w:hint="eastAsia"/>
                <w:b/>
                <w:bCs/>
                <w:sz w:val="24"/>
                <w:szCs w:val="24"/>
              </w:rPr>
            </w:pPr>
          </w:p>
        </w:tc>
        <w:tc>
          <w:tcPr>
            <w:tcW w:w="3276" w:type="dxa"/>
            <w:gridSpan w:val="2"/>
            <w:tcBorders>
              <w:top w:val="nil"/>
              <w:left w:val="nil"/>
              <w:bottom w:val="nil"/>
              <w:right w:val="nil"/>
            </w:tcBorders>
            <w:shd w:val="clear"/>
            <w:vAlign w:val="bottom"/>
          </w:tcPr>
          <w:p>
            <w:pPr>
              <w:rPr>
                <w:rFonts w:hint="eastAsia"/>
                <w:b/>
                <w:bCs/>
                <w:sz w:val="24"/>
                <w:szCs w:val="24"/>
              </w:rPr>
            </w:pPr>
            <w:r>
              <w:rPr>
                <w:rFonts w:hint="eastAsia"/>
                <w:b/>
                <w:bCs/>
                <w:sz w:val="24"/>
                <w:szCs w:val="24"/>
              </w:rPr>
              <w:t>制表部门：审管办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 w:hRule="atLeast"/>
          <w:jc w:val="center"/>
        </w:trPr>
        <w:tc>
          <w:tcPr>
            <w:tcW w:w="612" w:type="dxa"/>
            <w:tcBorders>
              <w:top w:val="nil"/>
              <w:left w:val="nil"/>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nil"/>
            </w:tcBorders>
            <w:shd w:val="clear"/>
            <w:vAlign w:val="bottom"/>
          </w:tcPr>
          <w:p>
            <w:pPr>
              <w:rPr>
                <w:rFonts w:hint="eastAsia"/>
                <w:b/>
                <w:bCs/>
                <w:sz w:val="24"/>
                <w:szCs w:val="24"/>
              </w:rPr>
            </w:pPr>
          </w:p>
        </w:tc>
        <w:tc>
          <w:tcPr>
            <w:tcW w:w="1476" w:type="dxa"/>
            <w:tcBorders>
              <w:top w:val="nil"/>
              <w:left w:val="nil"/>
              <w:bottom w:val="single" w:color="auto" w:sz="4" w:space="0"/>
              <w:right w:val="nil"/>
            </w:tcBorders>
            <w:shd w:val="clear"/>
            <w:vAlign w:val="bottom"/>
          </w:tcPr>
          <w:p>
            <w:pPr>
              <w:rPr>
                <w:rFonts w:hint="eastAsia"/>
                <w:b/>
                <w:bCs/>
                <w:sz w:val="24"/>
                <w:szCs w:val="24"/>
              </w:rPr>
            </w:pPr>
          </w:p>
        </w:tc>
        <w:tc>
          <w:tcPr>
            <w:tcW w:w="1536" w:type="dxa"/>
            <w:tcBorders>
              <w:top w:val="nil"/>
              <w:left w:val="nil"/>
              <w:bottom w:val="single" w:color="auto" w:sz="4" w:space="0"/>
              <w:right w:val="nil"/>
            </w:tcBorders>
            <w:shd w:val="clear"/>
            <w:vAlign w:val="bottom"/>
          </w:tcPr>
          <w:p>
            <w:pPr>
              <w:rPr>
                <w:rFonts w:hint="eastAsia"/>
                <w:b/>
                <w:bCs/>
                <w:sz w:val="24"/>
                <w:szCs w:val="24"/>
              </w:rPr>
            </w:pPr>
          </w:p>
        </w:tc>
        <w:tc>
          <w:tcPr>
            <w:tcW w:w="876"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248" w:type="dxa"/>
            <w:tcBorders>
              <w:top w:val="nil"/>
              <w:left w:val="nil"/>
              <w:bottom w:val="single" w:color="auto" w:sz="4" w:space="0"/>
              <w:right w:val="nil"/>
            </w:tcBorders>
            <w:shd w:val="clear"/>
            <w:vAlign w:val="bottom"/>
          </w:tcPr>
          <w:p>
            <w:pPr>
              <w:rPr>
                <w:rFonts w:hint="eastAsia"/>
                <w:b/>
                <w:bCs/>
                <w:sz w:val="24"/>
                <w:szCs w:val="24"/>
              </w:rPr>
            </w:pPr>
          </w:p>
        </w:tc>
        <w:tc>
          <w:tcPr>
            <w:tcW w:w="2196" w:type="dxa"/>
            <w:tcBorders>
              <w:top w:val="nil"/>
              <w:left w:val="nil"/>
              <w:bottom w:val="single" w:color="auto" w:sz="4" w:space="0"/>
              <w:right w:val="nil"/>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应公开案件数</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已公开案件数</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有效公开案件数</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有效公开率</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公开文书笔录案件数</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文书笔录公开率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电子送达案件数</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全省法院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220806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220806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216283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97.95%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974</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0.44%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10293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吉林省高级人民法院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4807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4807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3107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64.63%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vAlign w:val="bottom"/>
          </w:tcPr>
          <w:p>
            <w:pPr>
              <w:rPr>
                <w:rFonts w:hint="eastAsia"/>
                <w:b/>
                <w:bCs/>
                <w:sz w:val="24"/>
                <w:szCs w:val="24"/>
              </w:rPr>
            </w:pPr>
          </w:p>
        </w:tc>
        <w:tc>
          <w:tcPr>
            <w:tcW w:w="3792" w:type="dxa"/>
            <w:tcBorders>
              <w:top w:val="nil"/>
              <w:left w:val="nil"/>
              <w:bottom w:val="nil"/>
              <w:right w:val="nil"/>
            </w:tcBorders>
            <w:shd w:val="clear"/>
            <w:vAlign w:val="bottom"/>
          </w:tcPr>
          <w:p>
            <w:pPr>
              <w:rPr>
                <w:rFonts w:hint="eastAsia"/>
                <w:b/>
                <w:bCs/>
                <w:sz w:val="24"/>
                <w:szCs w:val="24"/>
              </w:rPr>
            </w:pPr>
          </w:p>
        </w:tc>
        <w:tc>
          <w:tcPr>
            <w:tcW w:w="9216" w:type="dxa"/>
            <w:gridSpan w:val="7"/>
            <w:tcBorders>
              <w:top w:val="nil"/>
              <w:left w:val="nil"/>
              <w:bottom w:val="nil"/>
              <w:right w:val="nil"/>
            </w:tcBorders>
            <w:shd w:val="clear"/>
            <w:vAlign w:val="bottom"/>
          </w:tcPr>
          <w:p>
            <w:pPr>
              <w:rPr>
                <w:rFonts w:hint="eastAsia"/>
                <w:b/>
                <w:bCs/>
                <w:sz w:val="24"/>
                <w:szCs w:val="24"/>
              </w:rPr>
            </w:pPr>
            <w:r>
              <w:rPr>
                <w:rFonts w:hint="eastAsia"/>
                <w:b/>
                <w:bCs/>
                <w:sz w:val="24"/>
                <w:szCs w:val="24"/>
              </w:rPr>
              <w:t>各地区法院中国审判流程信息公开网审判流程信息公开情况统计表(按有效公开率由高至低排列）</w:t>
            </w:r>
          </w:p>
        </w:tc>
        <w:tc>
          <w:tcPr>
            <w:tcW w:w="1572" w:type="dxa"/>
            <w:tcBorders>
              <w:top w:val="nil"/>
              <w:left w:val="nil"/>
              <w:bottom w:val="nil"/>
              <w:right w:val="nil"/>
            </w:tcBorders>
            <w:shd w:val="clear"/>
            <w:vAlign w:val="bottom"/>
          </w:tcPr>
          <w:p>
            <w:pPr>
              <w:rPr>
                <w:rFonts w:hint="eastAsia"/>
                <w:b/>
                <w:bCs/>
                <w:sz w:val="24"/>
                <w:szCs w:val="24"/>
              </w:rPr>
            </w:pPr>
          </w:p>
        </w:tc>
        <w:tc>
          <w:tcPr>
            <w:tcW w:w="1716"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nil"/>
            </w:tcBorders>
            <w:shd w:val="clear"/>
            <w:vAlign w:val="bottom"/>
          </w:tcPr>
          <w:p>
            <w:pPr>
              <w:rPr>
                <w:rFonts w:hint="eastAsia"/>
                <w:b/>
                <w:bCs/>
                <w:sz w:val="24"/>
                <w:szCs w:val="24"/>
              </w:rPr>
            </w:pPr>
          </w:p>
        </w:tc>
        <w:tc>
          <w:tcPr>
            <w:tcW w:w="1476" w:type="dxa"/>
            <w:tcBorders>
              <w:top w:val="nil"/>
              <w:left w:val="nil"/>
              <w:bottom w:val="single" w:color="auto" w:sz="4" w:space="0"/>
              <w:right w:val="nil"/>
            </w:tcBorders>
            <w:shd w:val="clear"/>
            <w:vAlign w:val="bottom"/>
          </w:tcPr>
          <w:p>
            <w:pPr>
              <w:rPr>
                <w:rFonts w:hint="eastAsia"/>
                <w:b/>
                <w:bCs/>
                <w:sz w:val="24"/>
                <w:szCs w:val="24"/>
              </w:rPr>
            </w:pPr>
          </w:p>
        </w:tc>
        <w:tc>
          <w:tcPr>
            <w:tcW w:w="1536" w:type="dxa"/>
            <w:tcBorders>
              <w:top w:val="nil"/>
              <w:left w:val="nil"/>
              <w:bottom w:val="single" w:color="auto" w:sz="4" w:space="0"/>
              <w:right w:val="nil"/>
            </w:tcBorders>
            <w:shd w:val="clear"/>
            <w:vAlign w:val="bottom"/>
          </w:tcPr>
          <w:p>
            <w:pPr>
              <w:rPr>
                <w:rFonts w:hint="eastAsia"/>
                <w:b/>
                <w:bCs/>
                <w:sz w:val="24"/>
                <w:szCs w:val="24"/>
              </w:rPr>
            </w:pPr>
          </w:p>
        </w:tc>
        <w:tc>
          <w:tcPr>
            <w:tcW w:w="876"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248" w:type="dxa"/>
            <w:tcBorders>
              <w:top w:val="nil"/>
              <w:left w:val="nil"/>
              <w:bottom w:val="single" w:color="auto" w:sz="4" w:space="0"/>
              <w:right w:val="nil"/>
            </w:tcBorders>
            <w:shd w:val="clear"/>
            <w:vAlign w:val="bottom"/>
          </w:tcPr>
          <w:p>
            <w:pPr>
              <w:rPr>
                <w:rFonts w:hint="eastAsia"/>
                <w:b/>
                <w:bCs/>
                <w:sz w:val="24"/>
                <w:szCs w:val="24"/>
              </w:rPr>
            </w:pPr>
          </w:p>
        </w:tc>
        <w:tc>
          <w:tcPr>
            <w:tcW w:w="2364" w:type="dxa"/>
            <w:gridSpan w:val="2"/>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序号</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应公开案件数</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已公开案件数</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有效公开案件数</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有效公开率</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公开文书笔录案件数</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文书笔录公开率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电子送达案件数</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白城市中级人民法院辖区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17667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17667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17536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99.25%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135</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0.76%</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2036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辽源市中级人民法院辖区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8685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8685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8619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99.24%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0.38%</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195</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32334</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32334</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32075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99.19%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696</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2.15%</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4856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白山市中级人民法院辖区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10260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10260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10169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99.11%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松原市中级人民法院辖区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25588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25588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25309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98.90%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通化市中级人民法院辖区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14923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14923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14707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98.55%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27</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0.18%</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840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四平市中级人民法院辖区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19699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19699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19401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98.48%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61239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61239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60199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98.30%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0.01%</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延边朝鲜族自治州中级人民法院辖区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22636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22636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22246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98.27%</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0.15%</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239</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合计</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213031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213031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210261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98.70%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963</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0.45%</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9658</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vAlign w:val="bottom"/>
          </w:tcPr>
          <w:p>
            <w:pPr>
              <w:rPr>
                <w:rFonts w:hint="eastAsia"/>
                <w:b/>
                <w:bCs/>
                <w:sz w:val="24"/>
                <w:szCs w:val="24"/>
              </w:rPr>
            </w:pPr>
          </w:p>
        </w:tc>
        <w:tc>
          <w:tcPr>
            <w:tcW w:w="3792" w:type="dxa"/>
            <w:tcBorders>
              <w:top w:val="nil"/>
              <w:left w:val="nil"/>
              <w:bottom w:val="nil"/>
              <w:right w:val="nil"/>
            </w:tcBorders>
            <w:shd w:val="clear"/>
            <w:vAlign w:val="bottom"/>
          </w:tcPr>
          <w:p>
            <w:pPr>
              <w:rPr>
                <w:rFonts w:hint="eastAsia"/>
                <w:b/>
                <w:bCs/>
                <w:sz w:val="24"/>
                <w:szCs w:val="24"/>
              </w:rPr>
            </w:pPr>
          </w:p>
        </w:tc>
        <w:tc>
          <w:tcPr>
            <w:tcW w:w="9216" w:type="dxa"/>
            <w:gridSpan w:val="7"/>
            <w:tcBorders>
              <w:top w:val="nil"/>
              <w:left w:val="nil"/>
              <w:bottom w:val="nil"/>
              <w:right w:val="nil"/>
            </w:tcBorders>
            <w:shd w:val="clear"/>
            <w:vAlign w:val="bottom"/>
          </w:tcPr>
          <w:p>
            <w:pPr>
              <w:rPr>
                <w:rFonts w:hint="eastAsia"/>
                <w:b/>
                <w:bCs/>
                <w:sz w:val="24"/>
                <w:szCs w:val="24"/>
              </w:rPr>
            </w:pPr>
            <w:r>
              <w:rPr>
                <w:rFonts w:hint="eastAsia"/>
                <w:b/>
                <w:bCs/>
                <w:sz w:val="24"/>
                <w:szCs w:val="24"/>
              </w:rPr>
              <w:t>林区、铁路法院中国审判流程信息公开网审判流程信息公开情况统计表(按有效公开率由高至低排列）</w:t>
            </w:r>
          </w:p>
        </w:tc>
        <w:tc>
          <w:tcPr>
            <w:tcW w:w="1572" w:type="dxa"/>
            <w:tcBorders>
              <w:top w:val="nil"/>
              <w:left w:val="nil"/>
              <w:bottom w:val="nil"/>
              <w:right w:val="nil"/>
            </w:tcBorders>
            <w:shd w:val="clear"/>
            <w:vAlign w:val="bottom"/>
          </w:tcPr>
          <w:p>
            <w:pPr>
              <w:rPr>
                <w:rFonts w:hint="eastAsia"/>
                <w:b/>
                <w:bCs/>
                <w:sz w:val="24"/>
                <w:szCs w:val="24"/>
              </w:rPr>
            </w:pPr>
          </w:p>
        </w:tc>
        <w:tc>
          <w:tcPr>
            <w:tcW w:w="1716"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nil"/>
            </w:tcBorders>
            <w:shd w:val="clear"/>
            <w:vAlign w:val="bottom"/>
          </w:tcPr>
          <w:p>
            <w:pPr>
              <w:rPr>
                <w:rFonts w:hint="eastAsia"/>
                <w:b/>
                <w:bCs/>
                <w:sz w:val="24"/>
                <w:szCs w:val="24"/>
              </w:rPr>
            </w:pPr>
          </w:p>
        </w:tc>
        <w:tc>
          <w:tcPr>
            <w:tcW w:w="1476" w:type="dxa"/>
            <w:tcBorders>
              <w:top w:val="nil"/>
              <w:left w:val="nil"/>
              <w:bottom w:val="single" w:color="auto" w:sz="4" w:space="0"/>
              <w:right w:val="nil"/>
            </w:tcBorders>
            <w:shd w:val="clear"/>
            <w:vAlign w:val="bottom"/>
          </w:tcPr>
          <w:p>
            <w:pPr>
              <w:rPr>
                <w:rFonts w:hint="eastAsia"/>
                <w:b/>
                <w:bCs/>
                <w:sz w:val="24"/>
                <w:szCs w:val="24"/>
              </w:rPr>
            </w:pPr>
          </w:p>
        </w:tc>
        <w:tc>
          <w:tcPr>
            <w:tcW w:w="1536" w:type="dxa"/>
            <w:tcBorders>
              <w:top w:val="nil"/>
              <w:left w:val="nil"/>
              <w:bottom w:val="single" w:color="auto" w:sz="4" w:space="0"/>
              <w:right w:val="nil"/>
            </w:tcBorders>
            <w:shd w:val="clear"/>
            <w:vAlign w:val="bottom"/>
          </w:tcPr>
          <w:p>
            <w:pPr>
              <w:rPr>
                <w:rFonts w:hint="eastAsia"/>
                <w:b/>
                <w:bCs/>
                <w:sz w:val="24"/>
                <w:szCs w:val="24"/>
              </w:rPr>
            </w:pPr>
          </w:p>
        </w:tc>
        <w:tc>
          <w:tcPr>
            <w:tcW w:w="876"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248" w:type="dxa"/>
            <w:tcBorders>
              <w:top w:val="nil"/>
              <w:left w:val="nil"/>
              <w:bottom w:val="single" w:color="auto" w:sz="4" w:space="0"/>
              <w:right w:val="nil"/>
            </w:tcBorders>
            <w:shd w:val="clear"/>
            <w:vAlign w:val="bottom"/>
          </w:tcPr>
          <w:p>
            <w:pPr>
              <w:rPr>
                <w:rFonts w:hint="eastAsia"/>
                <w:b/>
                <w:bCs/>
                <w:sz w:val="24"/>
                <w:szCs w:val="24"/>
              </w:rPr>
            </w:pPr>
          </w:p>
        </w:tc>
        <w:tc>
          <w:tcPr>
            <w:tcW w:w="2364" w:type="dxa"/>
            <w:gridSpan w:val="2"/>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序号</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应公开案件数</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已公开案件数</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有效公开案件数</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有效公开率</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公开文书笔录案件数</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文书笔录公开率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电子送达案件数</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长春林业中级法院辖区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0.50%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490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长春铁路运输中级法院辖区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725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725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716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98.75%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0.41%</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延边林业中级法院辖区</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1250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1250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1212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96.96%</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0.24%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合计</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2968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2968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2915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98.21%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0.37%</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634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vAlign w:val="bottom"/>
          </w:tcPr>
          <w:p>
            <w:pPr>
              <w:rPr>
                <w:rFonts w:hint="eastAsia"/>
                <w:b/>
                <w:bCs/>
                <w:sz w:val="24"/>
                <w:szCs w:val="24"/>
              </w:rPr>
            </w:pPr>
          </w:p>
        </w:tc>
        <w:tc>
          <w:tcPr>
            <w:tcW w:w="3792" w:type="dxa"/>
            <w:tcBorders>
              <w:top w:val="nil"/>
              <w:left w:val="nil"/>
              <w:bottom w:val="nil"/>
              <w:right w:val="nil"/>
            </w:tcBorders>
            <w:shd w:val="clear"/>
            <w:vAlign w:val="bottom"/>
          </w:tcPr>
          <w:p>
            <w:pPr>
              <w:rPr>
                <w:rFonts w:hint="eastAsia"/>
                <w:b/>
                <w:bCs/>
                <w:sz w:val="24"/>
                <w:szCs w:val="24"/>
              </w:rPr>
            </w:pPr>
          </w:p>
        </w:tc>
        <w:tc>
          <w:tcPr>
            <w:tcW w:w="9216" w:type="dxa"/>
            <w:gridSpan w:val="7"/>
            <w:tcBorders>
              <w:top w:val="nil"/>
              <w:left w:val="nil"/>
              <w:bottom w:val="nil"/>
              <w:right w:val="nil"/>
            </w:tcBorders>
            <w:shd w:val="clear"/>
            <w:vAlign w:val="bottom"/>
          </w:tcPr>
          <w:p>
            <w:pPr>
              <w:rPr>
                <w:rFonts w:hint="eastAsia"/>
                <w:b/>
                <w:bCs/>
                <w:sz w:val="24"/>
                <w:szCs w:val="24"/>
              </w:rPr>
            </w:pPr>
            <w:r>
              <w:rPr>
                <w:rFonts w:hint="eastAsia"/>
                <w:b/>
                <w:bCs/>
                <w:sz w:val="24"/>
                <w:szCs w:val="24"/>
              </w:rPr>
              <w:t>各地区中级法院中国审判流程信息公开网审判流程信息公开情况统计表(按有效公开率由高至低排列）</w:t>
            </w:r>
          </w:p>
        </w:tc>
        <w:tc>
          <w:tcPr>
            <w:tcW w:w="1572" w:type="dxa"/>
            <w:tcBorders>
              <w:top w:val="nil"/>
              <w:left w:val="nil"/>
              <w:bottom w:val="nil"/>
              <w:right w:val="nil"/>
            </w:tcBorders>
            <w:shd w:val="clear"/>
            <w:vAlign w:val="bottom"/>
          </w:tcPr>
          <w:p>
            <w:pPr>
              <w:rPr>
                <w:rFonts w:hint="eastAsia"/>
                <w:b/>
                <w:bCs/>
                <w:sz w:val="24"/>
                <w:szCs w:val="24"/>
              </w:rPr>
            </w:pPr>
          </w:p>
        </w:tc>
        <w:tc>
          <w:tcPr>
            <w:tcW w:w="1716"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nil"/>
            </w:tcBorders>
            <w:shd w:val="clear"/>
            <w:vAlign w:val="bottom"/>
          </w:tcPr>
          <w:p>
            <w:pPr>
              <w:rPr>
                <w:rFonts w:hint="eastAsia"/>
                <w:b/>
                <w:bCs/>
                <w:sz w:val="24"/>
                <w:szCs w:val="24"/>
              </w:rPr>
            </w:pPr>
          </w:p>
        </w:tc>
        <w:tc>
          <w:tcPr>
            <w:tcW w:w="1476" w:type="dxa"/>
            <w:tcBorders>
              <w:top w:val="nil"/>
              <w:left w:val="nil"/>
              <w:bottom w:val="single" w:color="auto" w:sz="4" w:space="0"/>
              <w:right w:val="nil"/>
            </w:tcBorders>
            <w:shd w:val="clear"/>
            <w:vAlign w:val="bottom"/>
          </w:tcPr>
          <w:p>
            <w:pPr>
              <w:rPr>
                <w:rFonts w:hint="eastAsia"/>
                <w:b/>
                <w:bCs/>
                <w:sz w:val="24"/>
                <w:szCs w:val="24"/>
              </w:rPr>
            </w:pPr>
          </w:p>
        </w:tc>
        <w:tc>
          <w:tcPr>
            <w:tcW w:w="1536" w:type="dxa"/>
            <w:tcBorders>
              <w:top w:val="nil"/>
              <w:left w:val="nil"/>
              <w:bottom w:val="single" w:color="auto" w:sz="4" w:space="0"/>
              <w:right w:val="nil"/>
            </w:tcBorders>
            <w:shd w:val="clear"/>
            <w:vAlign w:val="bottom"/>
          </w:tcPr>
          <w:p>
            <w:pPr>
              <w:rPr>
                <w:rFonts w:hint="eastAsia"/>
                <w:b/>
                <w:bCs/>
                <w:sz w:val="24"/>
                <w:szCs w:val="24"/>
              </w:rPr>
            </w:pPr>
          </w:p>
        </w:tc>
        <w:tc>
          <w:tcPr>
            <w:tcW w:w="876"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248" w:type="dxa"/>
            <w:tcBorders>
              <w:top w:val="nil"/>
              <w:left w:val="nil"/>
              <w:bottom w:val="single" w:color="auto" w:sz="4" w:space="0"/>
              <w:right w:val="nil"/>
            </w:tcBorders>
            <w:shd w:val="clear"/>
            <w:vAlign w:val="bottom"/>
          </w:tcPr>
          <w:p>
            <w:pPr>
              <w:rPr>
                <w:rFonts w:hint="eastAsia"/>
                <w:b/>
                <w:bCs/>
                <w:sz w:val="24"/>
                <w:szCs w:val="24"/>
              </w:rPr>
            </w:pPr>
          </w:p>
        </w:tc>
        <w:tc>
          <w:tcPr>
            <w:tcW w:w="2364" w:type="dxa"/>
            <w:gridSpan w:val="2"/>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序号</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应公开案件数</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已公开案件数</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有效公开案件数</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有效公开率</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公开文书笔录案件数</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文书笔录公开率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电子送达案件数</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辽源市中级人民法院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1097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1097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1070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97.53%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白城市中级人民法院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1671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1671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1623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97.12%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3548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3548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3397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95.74%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0.06%</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通化市中级人民法院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1725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1725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1651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95.71%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白山市中级人民法院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1092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1092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1042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95.42%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0.09%</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四平市中级人民法院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2242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2242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2043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91.12%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松原市中级人民法院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2236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2236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2037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91.10%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延边朝鲜族自治州中级人民法院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2589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2589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2355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90.96%</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长春市中级人民法院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6639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6639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5733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86.35%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合计</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22839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22839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20951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91.73%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248</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vAlign w:val="bottom"/>
          </w:tcPr>
          <w:p>
            <w:pPr>
              <w:rPr>
                <w:rFonts w:hint="eastAsia"/>
                <w:b/>
                <w:bCs/>
                <w:sz w:val="24"/>
                <w:szCs w:val="24"/>
              </w:rPr>
            </w:pPr>
          </w:p>
        </w:tc>
        <w:tc>
          <w:tcPr>
            <w:tcW w:w="3792" w:type="dxa"/>
            <w:tcBorders>
              <w:top w:val="nil"/>
              <w:left w:val="nil"/>
              <w:bottom w:val="nil"/>
              <w:right w:val="nil"/>
            </w:tcBorders>
            <w:shd w:val="clear"/>
            <w:vAlign w:val="bottom"/>
          </w:tcPr>
          <w:p>
            <w:pPr>
              <w:rPr>
                <w:rFonts w:hint="eastAsia"/>
                <w:b/>
                <w:bCs/>
                <w:sz w:val="24"/>
                <w:szCs w:val="24"/>
              </w:rPr>
            </w:pPr>
          </w:p>
        </w:tc>
        <w:tc>
          <w:tcPr>
            <w:tcW w:w="9216" w:type="dxa"/>
            <w:gridSpan w:val="7"/>
            <w:tcBorders>
              <w:top w:val="nil"/>
              <w:left w:val="nil"/>
              <w:bottom w:val="nil"/>
              <w:right w:val="nil"/>
            </w:tcBorders>
            <w:shd w:val="clear"/>
            <w:vAlign w:val="bottom"/>
          </w:tcPr>
          <w:p>
            <w:pPr>
              <w:rPr>
                <w:rFonts w:hint="eastAsia"/>
                <w:b/>
                <w:bCs/>
                <w:sz w:val="24"/>
                <w:szCs w:val="24"/>
              </w:rPr>
            </w:pPr>
            <w:r>
              <w:rPr>
                <w:rFonts w:hint="eastAsia"/>
                <w:b/>
                <w:bCs/>
                <w:sz w:val="24"/>
                <w:szCs w:val="24"/>
              </w:rPr>
              <w:t>林区、铁路中级法院中国审判流程信息公开网审判流程信息公开情况统计表(按有效公开率由高至低排列）</w:t>
            </w:r>
          </w:p>
        </w:tc>
        <w:tc>
          <w:tcPr>
            <w:tcW w:w="1572" w:type="dxa"/>
            <w:tcBorders>
              <w:top w:val="nil"/>
              <w:left w:val="nil"/>
              <w:bottom w:val="nil"/>
              <w:right w:val="nil"/>
            </w:tcBorders>
            <w:shd w:val="clear"/>
            <w:vAlign w:val="bottom"/>
          </w:tcPr>
          <w:p>
            <w:pPr>
              <w:rPr>
                <w:rFonts w:hint="eastAsia"/>
                <w:b/>
                <w:bCs/>
                <w:sz w:val="24"/>
                <w:szCs w:val="24"/>
              </w:rPr>
            </w:pPr>
          </w:p>
        </w:tc>
        <w:tc>
          <w:tcPr>
            <w:tcW w:w="1716"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nil"/>
            </w:tcBorders>
            <w:shd w:val="clear"/>
            <w:vAlign w:val="bottom"/>
          </w:tcPr>
          <w:p>
            <w:pPr>
              <w:rPr>
                <w:rFonts w:hint="eastAsia"/>
                <w:b/>
                <w:bCs/>
                <w:sz w:val="24"/>
                <w:szCs w:val="24"/>
              </w:rPr>
            </w:pPr>
          </w:p>
        </w:tc>
        <w:tc>
          <w:tcPr>
            <w:tcW w:w="1476" w:type="dxa"/>
            <w:tcBorders>
              <w:top w:val="nil"/>
              <w:left w:val="nil"/>
              <w:bottom w:val="single" w:color="auto" w:sz="4" w:space="0"/>
              <w:right w:val="nil"/>
            </w:tcBorders>
            <w:shd w:val="clear"/>
            <w:vAlign w:val="bottom"/>
          </w:tcPr>
          <w:p>
            <w:pPr>
              <w:rPr>
                <w:rFonts w:hint="eastAsia"/>
                <w:b/>
                <w:bCs/>
                <w:sz w:val="24"/>
                <w:szCs w:val="24"/>
              </w:rPr>
            </w:pPr>
          </w:p>
        </w:tc>
        <w:tc>
          <w:tcPr>
            <w:tcW w:w="1536" w:type="dxa"/>
            <w:tcBorders>
              <w:top w:val="nil"/>
              <w:left w:val="nil"/>
              <w:bottom w:val="single" w:color="auto" w:sz="4" w:space="0"/>
              <w:right w:val="nil"/>
            </w:tcBorders>
            <w:shd w:val="clear"/>
            <w:vAlign w:val="bottom"/>
          </w:tcPr>
          <w:p>
            <w:pPr>
              <w:rPr>
                <w:rFonts w:hint="eastAsia"/>
                <w:b/>
                <w:bCs/>
                <w:sz w:val="24"/>
                <w:szCs w:val="24"/>
              </w:rPr>
            </w:pPr>
          </w:p>
        </w:tc>
        <w:tc>
          <w:tcPr>
            <w:tcW w:w="876"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248" w:type="dxa"/>
            <w:tcBorders>
              <w:top w:val="nil"/>
              <w:left w:val="nil"/>
              <w:bottom w:val="single" w:color="auto" w:sz="4" w:space="0"/>
              <w:right w:val="nil"/>
            </w:tcBorders>
            <w:shd w:val="clear"/>
            <w:vAlign w:val="bottom"/>
          </w:tcPr>
          <w:p>
            <w:pPr>
              <w:rPr>
                <w:rFonts w:hint="eastAsia"/>
                <w:b/>
                <w:bCs/>
                <w:sz w:val="24"/>
                <w:szCs w:val="24"/>
              </w:rPr>
            </w:pPr>
          </w:p>
        </w:tc>
        <w:tc>
          <w:tcPr>
            <w:tcW w:w="2364" w:type="dxa"/>
            <w:gridSpan w:val="2"/>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序号</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应公开案件数</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已公开案件数</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有效公开案件数</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有效公开率</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公开文书笔录案件数</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文书笔录公开率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电子送达案件数</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长春铁路运输中级法院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97.93%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延边林区中级法院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91.41%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长春林区中级法院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91.22%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合计</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296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93.38%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80"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80"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bl>
    <w:p>
      <w:pPr>
        <w:rPr>
          <w:rFonts w:hint="eastAsia"/>
          <w:b/>
          <w:bCs/>
          <w:sz w:val="24"/>
          <w:szCs w:val="24"/>
        </w:rPr>
      </w:pPr>
      <w:r>
        <w:rPr>
          <w:rFonts w:hint="eastAsia"/>
          <w:b/>
          <w:bCs/>
          <w:sz w:val="24"/>
          <w:szCs w:val="24"/>
        </w:rPr>
        <w:t> </w:t>
      </w:r>
    </w:p>
    <w:p>
      <w:pPr>
        <w:rPr>
          <w:rFonts w:hint="eastAsia"/>
          <w:b/>
          <w:bCs/>
          <w:sz w:val="24"/>
          <w:szCs w:val="24"/>
        </w:rPr>
      </w:pPr>
    </w:p>
    <w:p>
      <w:pPr>
        <w:rPr>
          <w:rFonts w:hint="eastAsia"/>
          <w:b/>
          <w:bCs/>
          <w:sz w:val="24"/>
          <w:szCs w:val="24"/>
        </w:rPr>
      </w:pPr>
      <w:r>
        <w:rPr>
          <w:rFonts w:hint="eastAsia"/>
          <w:b/>
          <w:bCs/>
          <w:sz w:val="24"/>
          <w:szCs w:val="24"/>
        </w:rPr>
        <w:t> </w:t>
      </w:r>
    </w:p>
    <w:p>
      <w:pPr>
        <w:rPr>
          <w:rFonts w:hint="eastAsia"/>
          <w:b/>
          <w:bCs/>
          <w:sz w:val="24"/>
          <w:szCs w:val="24"/>
        </w:rPr>
      </w:pPr>
    </w:p>
    <w:p>
      <w:pPr>
        <w:rPr>
          <w:rFonts w:hint="eastAsia"/>
          <w:b/>
          <w:bCs/>
          <w:sz w:val="24"/>
          <w:szCs w:val="24"/>
        </w:rPr>
      </w:pPr>
      <w:r>
        <w:rPr>
          <w:rFonts w:hint="eastAsia"/>
          <w:b/>
          <w:bCs/>
          <w:sz w:val="24"/>
          <w:szCs w:val="24"/>
        </w:rPr>
        <w:drawing>
          <wp:inline distT="0" distB="0" distL="114300" distR="114300">
            <wp:extent cx="14639925" cy="952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4639925" cy="9525"/>
                    </a:xfrm>
                    <a:prstGeom prst="rect">
                      <a:avLst/>
                    </a:prstGeom>
                    <a:noFill/>
                    <a:ln w="9525">
                      <a:noFill/>
                    </a:ln>
                  </pic:spPr>
                </pic:pic>
              </a:graphicData>
            </a:graphic>
          </wp:inline>
        </w:drawing>
      </w:r>
      <w:r>
        <w:rPr>
          <w:rFonts w:hint="eastAsia"/>
          <w:b/>
          <w:bCs/>
          <w:sz w:val="24"/>
          <w:szCs w:val="24"/>
        </w:rPr>
        <w:t>各地区基层法院中国审判流程信息公开网审判流程信息公开情况统计表(按有效公开率由高至低排列）</w:t>
      </w:r>
    </w:p>
    <w:p>
      <w:pPr>
        <w:rPr>
          <w:rFonts w:hint="eastAsia"/>
          <w:b/>
          <w:bCs/>
          <w:sz w:val="24"/>
          <w:szCs w:val="24"/>
        </w:rPr>
      </w:pPr>
      <w:r>
        <w:rPr>
          <w:rFonts w:hint="eastAsia"/>
          <w:b/>
          <w:bCs/>
          <w:sz w:val="24"/>
          <w:szCs w:val="24"/>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2"/>
        <w:gridCol w:w="852"/>
        <w:gridCol w:w="657"/>
        <w:gridCol w:w="667"/>
        <w:gridCol w:w="910"/>
        <w:gridCol w:w="698"/>
        <w:gridCol w:w="967"/>
        <w:gridCol w:w="680"/>
        <w:gridCol w:w="951"/>
        <w:gridCol w:w="698"/>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jc w:val="center"/>
        </w:trPr>
        <w:tc>
          <w:tcPr>
            <w:tcW w:w="612" w:type="dxa"/>
            <w:tcBorders>
              <w:top w:val="single" w:color="auto" w:sz="4" w:space="0"/>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序号</w:t>
            </w:r>
          </w:p>
        </w:tc>
        <w:tc>
          <w:tcPr>
            <w:tcW w:w="3792"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法院</w:t>
            </w:r>
          </w:p>
        </w:tc>
        <w:tc>
          <w:tcPr>
            <w:tcW w:w="147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应公开案件数</w:t>
            </w:r>
          </w:p>
        </w:tc>
        <w:tc>
          <w:tcPr>
            <w:tcW w:w="153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已公开案件数</w:t>
            </w:r>
          </w:p>
        </w:tc>
        <w:tc>
          <w:tcPr>
            <w:tcW w:w="87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公开率</w:t>
            </w:r>
          </w:p>
        </w:tc>
        <w:tc>
          <w:tcPr>
            <w:tcW w:w="171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有效公开案件数</w:t>
            </w:r>
          </w:p>
        </w:tc>
        <w:tc>
          <w:tcPr>
            <w:tcW w:w="1248"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有效公开率</w:t>
            </w:r>
          </w:p>
        </w:tc>
        <w:tc>
          <w:tcPr>
            <w:tcW w:w="219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公开文书笔录案件数</w:t>
            </w:r>
          </w:p>
        </w:tc>
        <w:tc>
          <w:tcPr>
            <w:tcW w:w="1740"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文书笔录公开率</w:t>
            </w:r>
          </w:p>
        </w:tc>
        <w:tc>
          <w:tcPr>
            <w:tcW w:w="171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电子送达案件数</w:t>
            </w:r>
          </w:p>
        </w:tc>
        <w:tc>
          <w:tcPr>
            <w:tcW w:w="1572"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长春市双阳区人民法院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2230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2230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2230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145</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梨树县人民法院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4092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4092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4089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99.92%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舒兰市人民法院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3065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3065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3062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99.90%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118</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长春市宽城区人民法院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4700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4700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4695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德惠市人民法院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4191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4191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4186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长春汽车经济技术开发区人民法院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1678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1678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1676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辽源市西安区人民法院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1785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1785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1783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1.85%</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吉林市昌邑区人民法院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3282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3282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3278</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99.87%</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59</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435</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榆树市人民法院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5791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5791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5783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99.86%</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10</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白山市浑江区人民法院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2552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2552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2548</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图们市人民法院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1322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1322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1320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34</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2.57%</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长春市二道区人民法院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2615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2615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2610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长春新区人民法院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2525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2525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2520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洮南市人民法院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3510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3510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3503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99.80%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0.17%</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长春市朝阳区人民法院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6383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6383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6369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东辽县人民法院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1825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1825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1821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集安市人民法院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1829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1829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1825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东丰县人民法院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1663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1663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1659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长春经济技术开发区人民法院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3185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3185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3177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20</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吉林市丰满区人民法院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3524</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3524</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3515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乾安县人民法院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2733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2733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2726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长春市南关区人民法院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6047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6047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6031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长春净月高新技术产业开发区人民法院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1513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1513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1509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白山市江源区人民法院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1080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1080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1077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大安市人民法院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2447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2447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2440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松原市宁江区人民法院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7000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7000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6979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99.70%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抚松县人民法院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2293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2293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2286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长春市绿园区人民法院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4170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4170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4157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0.07%</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辉南县人民法院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1250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1250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1246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30</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白城市洮北区人民法院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4470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4470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4456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126</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1646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吉林市船营区人民法院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4580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4580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4565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99.67%</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51</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1.11%</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390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前郭尔罗斯蒙古族自治县人民法院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5125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5125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5107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柳河县人民法院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1641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1641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1635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0.67%</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双辽市人民法院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2636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2636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2626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通榆县人民法院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3176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3176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3164</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长岭县人民法院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4308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4308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4292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和龙市人民法院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1050</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1050</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1046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99.61%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139</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蛟河市人民法院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3188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3188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3175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115</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3.61%</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504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长春市九台区人民法院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4815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4815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4795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40</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四平市铁东区人民法院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2113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2113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2104</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99.57%</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永吉县人民法院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2049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2049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2040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99.56%</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393</w:t>
            </w:r>
          </w:p>
        </w:tc>
        <w:tc>
          <w:tcPr>
            <w:tcW w:w="1740"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19.18%</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842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40"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bl>
    <w:p>
      <w:pPr>
        <w:rPr>
          <w:rFonts w:hint="eastAsia"/>
          <w:b/>
          <w:bCs/>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7"/>
        <w:gridCol w:w="699"/>
        <w:gridCol w:w="824"/>
        <w:gridCol w:w="832"/>
        <w:gridCol w:w="910"/>
        <w:gridCol w:w="855"/>
        <w:gridCol w:w="953"/>
        <w:gridCol w:w="601"/>
        <w:gridCol w:w="28"/>
        <w:gridCol w:w="783"/>
        <w:gridCol w:w="645"/>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jc w:val="center"/>
        </w:trPr>
        <w:tc>
          <w:tcPr>
            <w:tcW w:w="612" w:type="dxa"/>
            <w:tcBorders>
              <w:top w:val="single" w:color="auto" w:sz="4" w:space="0"/>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42</w:t>
            </w:r>
          </w:p>
        </w:tc>
        <w:tc>
          <w:tcPr>
            <w:tcW w:w="3792"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靖宇县人民法院</w:t>
            </w:r>
          </w:p>
        </w:tc>
        <w:tc>
          <w:tcPr>
            <w:tcW w:w="147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1371</w:t>
            </w:r>
          </w:p>
        </w:tc>
        <w:tc>
          <w:tcPr>
            <w:tcW w:w="153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1371</w:t>
            </w:r>
          </w:p>
        </w:tc>
        <w:tc>
          <w:tcPr>
            <w:tcW w:w="87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1365</w:t>
            </w:r>
          </w:p>
        </w:tc>
        <w:tc>
          <w:tcPr>
            <w:tcW w:w="1248"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99.56%</w:t>
            </w:r>
          </w:p>
        </w:tc>
        <w:tc>
          <w:tcPr>
            <w:tcW w:w="219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single" w:color="auto" w:sz="4" w:space="0"/>
              <w:left w:val="nil"/>
              <w:bottom w:val="nil"/>
              <w:right w:val="nil"/>
            </w:tcBorders>
            <w:shd w:val="clear"/>
            <w:vAlign w:val="bottom"/>
          </w:tcPr>
          <w:p>
            <w:pPr>
              <w:rPr>
                <w:rFonts w:hint="eastAsia"/>
                <w:b/>
                <w:bCs/>
                <w:sz w:val="24"/>
                <w:szCs w:val="24"/>
              </w:rPr>
            </w:pPr>
          </w:p>
        </w:tc>
        <w:tc>
          <w:tcPr>
            <w:tcW w:w="159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16</w:t>
            </w:r>
          </w:p>
        </w:tc>
        <w:tc>
          <w:tcPr>
            <w:tcW w:w="1572" w:type="dxa"/>
            <w:tcBorders>
              <w:top w:val="single" w:color="auto" w:sz="4" w:space="0"/>
              <w:left w:val="nil"/>
              <w:bottom w:val="nil"/>
              <w:right w:val="single" w:color="auto" w:sz="4" w:space="0"/>
            </w:tcBorders>
            <w:shd w:val="clear"/>
            <w:vAlign w:val="bottom"/>
          </w:tcPr>
          <w:p>
            <w:pPr>
              <w:rPr>
                <w:rFonts w:hint="eastAsia"/>
                <w:b/>
                <w:bCs/>
                <w:sz w:val="24"/>
                <w:szCs w:val="24"/>
              </w:rPr>
            </w:pPr>
            <w:r>
              <w:rPr>
                <w:rFonts w:hint="eastAsia"/>
                <w:b/>
                <w:bCs/>
                <w:sz w:val="24"/>
                <w:szCs w:val="24"/>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扶余市人民法院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4186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4186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4168</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99.56%</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687</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桦甸市人民法院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2882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2882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2869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0.35%</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1672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伊通满族自治县人民法院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2349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2349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2338</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29</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磐石市人民法院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3181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3181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3164</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99.46%</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1.92%</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511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敦化市人民法院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3363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3363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3343</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99.40%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农安县人民法院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4757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4757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4728</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梅河口市人民法院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2758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2758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2741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0.54%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341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50</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吉林市龙潭区人民法院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1871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1871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1859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0.05%</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通化市二道江区人民法院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1074</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1074</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1067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135</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安图县人民法院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1619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1619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1608</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99.32%</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龙井市人民法院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926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926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919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99.24%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珲春市人民法院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3046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3046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3019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99.11%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汪清县人民法院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1427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1427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1414</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99.08%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四平市铁西区人民法院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2141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2141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2120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99.01%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0.05%</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延吉市人民法院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7294</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7294</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7222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99.01%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长白朝鲜族自治县人民法院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694</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694</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687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98.99%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公主岭市人民法院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4126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4126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4081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98.90%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0.44%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29</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60</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吉林高新技术产业开发区人民法院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1164</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1164</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1151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98.88%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0.34%</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临江市人民法院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1178</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1178</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1164</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98.81%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辽源市龙山区人民法院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2315</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2315</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2286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98.74%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镇赉县人民法院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2393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2393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2350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98.20%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通化市东昌区人民法院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3123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3123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3058</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97.91%</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0.03%</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通化县人民法院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1523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1523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1484</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97.43%</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8</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合计</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190192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190192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189310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99.54%</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958</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0.50%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9410</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nil"/>
              <w:bottom w:val="nil"/>
              <w:right w:val="nil"/>
            </w:tcBorders>
            <w:shd w:val="clear"/>
            <w:vAlign w:val="bottom"/>
          </w:tcPr>
          <w:p>
            <w:pPr>
              <w:rPr>
                <w:rFonts w:hint="eastAsia"/>
                <w:b/>
                <w:bCs/>
                <w:sz w:val="24"/>
                <w:szCs w:val="24"/>
              </w:rPr>
            </w:pPr>
          </w:p>
        </w:tc>
        <w:tc>
          <w:tcPr>
            <w:tcW w:w="3792" w:type="dxa"/>
            <w:tcBorders>
              <w:top w:val="nil"/>
              <w:left w:val="nil"/>
              <w:bottom w:val="nil"/>
              <w:right w:val="nil"/>
            </w:tcBorders>
            <w:shd w:val="clear"/>
            <w:vAlign w:val="bottom"/>
          </w:tcPr>
          <w:p>
            <w:pPr>
              <w:rPr>
                <w:rFonts w:hint="eastAsia"/>
                <w:b/>
                <w:bCs/>
                <w:sz w:val="24"/>
                <w:szCs w:val="24"/>
              </w:rPr>
            </w:pPr>
          </w:p>
        </w:tc>
        <w:tc>
          <w:tcPr>
            <w:tcW w:w="9180" w:type="dxa"/>
            <w:gridSpan w:val="7"/>
            <w:tcBorders>
              <w:top w:val="nil"/>
              <w:left w:val="nil"/>
              <w:bottom w:val="nil"/>
              <w:right w:val="nil"/>
            </w:tcBorders>
            <w:shd w:val="clear"/>
            <w:vAlign w:val="bottom"/>
          </w:tcPr>
          <w:p>
            <w:pPr>
              <w:rPr>
                <w:rFonts w:hint="eastAsia"/>
                <w:b/>
                <w:bCs/>
                <w:sz w:val="24"/>
                <w:szCs w:val="24"/>
              </w:rPr>
            </w:pPr>
            <w:r>
              <w:rPr>
                <w:rFonts w:hint="eastAsia"/>
                <w:b/>
                <w:bCs/>
                <w:sz w:val="24"/>
                <w:szCs w:val="24"/>
              </w:rPr>
              <w:t>林区、铁路基层法院中国审判流程信息公开网审判流程信息公开情况统计表(按有效公开率由高至低排列)</w:t>
            </w:r>
          </w:p>
        </w:tc>
        <w:tc>
          <w:tcPr>
            <w:tcW w:w="1596" w:type="dxa"/>
            <w:tcBorders>
              <w:top w:val="nil"/>
              <w:left w:val="nil"/>
              <w:bottom w:val="nil"/>
              <w:right w:val="nil"/>
            </w:tcBorders>
            <w:shd w:val="clear"/>
            <w:vAlign w:val="bottom"/>
          </w:tcPr>
          <w:p>
            <w:pPr>
              <w:rPr>
                <w:rFonts w:hint="eastAsia"/>
                <w:b/>
                <w:bCs/>
                <w:sz w:val="24"/>
                <w:szCs w:val="24"/>
              </w:rPr>
            </w:pPr>
          </w:p>
        </w:tc>
        <w:tc>
          <w:tcPr>
            <w:tcW w:w="1716" w:type="dxa"/>
            <w:tcBorders>
              <w:top w:val="nil"/>
              <w:left w:val="nil"/>
              <w:bottom w:val="nil"/>
              <w:right w:val="nil"/>
            </w:tcBorders>
            <w:shd w:val="clear"/>
            <w:vAlign w:val="bottom"/>
          </w:tcPr>
          <w:p>
            <w:pPr>
              <w:rPr>
                <w:rFonts w:hint="eastAsia"/>
                <w:b/>
                <w:bCs/>
                <w:sz w:val="24"/>
                <w:szCs w:val="24"/>
              </w:rPr>
            </w:pPr>
          </w:p>
        </w:tc>
        <w:tc>
          <w:tcPr>
            <w:tcW w:w="1572" w:type="dxa"/>
            <w:tcBorders>
              <w:top w:val="nil"/>
              <w:left w:val="nil"/>
              <w:bottom w:val="nil"/>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 w:hRule="atLeast"/>
          <w:jc w:val="center"/>
        </w:trPr>
        <w:tc>
          <w:tcPr>
            <w:tcW w:w="612" w:type="dxa"/>
            <w:tcBorders>
              <w:top w:val="nil"/>
              <w:left w:val="nil"/>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nil"/>
            </w:tcBorders>
            <w:shd w:val="clear"/>
            <w:vAlign w:val="bottom"/>
          </w:tcPr>
          <w:p>
            <w:pPr>
              <w:rPr>
                <w:rFonts w:hint="eastAsia"/>
                <w:b/>
                <w:bCs/>
                <w:sz w:val="24"/>
                <w:szCs w:val="24"/>
              </w:rPr>
            </w:pPr>
          </w:p>
        </w:tc>
        <w:tc>
          <w:tcPr>
            <w:tcW w:w="1476" w:type="dxa"/>
            <w:tcBorders>
              <w:top w:val="nil"/>
              <w:left w:val="nil"/>
              <w:bottom w:val="single" w:color="auto" w:sz="4" w:space="0"/>
              <w:right w:val="nil"/>
            </w:tcBorders>
            <w:shd w:val="clear"/>
            <w:vAlign w:val="bottom"/>
          </w:tcPr>
          <w:p>
            <w:pPr>
              <w:rPr>
                <w:rFonts w:hint="eastAsia"/>
                <w:b/>
                <w:bCs/>
                <w:sz w:val="24"/>
                <w:szCs w:val="24"/>
              </w:rPr>
            </w:pPr>
          </w:p>
        </w:tc>
        <w:tc>
          <w:tcPr>
            <w:tcW w:w="1536" w:type="dxa"/>
            <w:tcBorders>
              <w:top w:val="nil"/>
              <w:left w:val="nil"/>
              <w:bottom w:val="single" w:color="auto" w:sz="4" w:space="0"/>
              <w:right w:val="nil"/>
            </w:tcBorders>
            <w:shd w:val="clear"/>
            <w:vAlign w:val="bottom"/>
          </w:tcPr>
          <w:p>
            <w:pPr>
              <w:rPr>
                <w:rFonts w:hint="eastAsia"/>
                <w:b/>
                <w:bCs/>
                <w:sz w:val="24"/>
                <w:szCs w:val="24"/>
              </w:rPr>
            </w:pPr>
          </w:p>
        </w:tc>
        <w:tc>
          <w:tcPr>
            <w:tcW w:w="876"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248" w:type="dxa"/>
            <w:tcBorders>
              <w:top w:val="nil"/>
              <w:left w:val="nil"/>
              <w:bottom w:val="single" w:color="auto" w:sz="4" w:space="0"/>
              <w:right w:val="nil"/>
            </w:tcBorders>
            <w:shd w:val="clear"/>
            <w:vAlign w:val="bottom"/>
          </w:tcPr>
          <w:p>
            <w:pPr>
              <w:rPr>
                <w:rFonts w:hint="eastAsia"/>
                <w:b/>
                <w:bCs/>
                <w:sz w:val="24"/>
                <w:szCs w:val="24"/>
              </w:rPr>
            </w:pPr>
          </w:p>
        </w:tc>
        <w:tc>
          <w:tcPr>
            <w:tcW w:w="2340" w:type="dxa"/>
            <w:gridSpan w:val="2"/>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nil"/>
            </w:tcBorders>
            <w:shd w:val="clear"/>
            <w:vAlign w:val="bottom"/>
          </w:tcPr>
          <w:p>
            <w:pPr>
              <w:rPr>
                <w:rFonts w:hint="eastAsia"/>
                <w:b/>
                <w:bCs/>
                <w:sz w:val="24"/>
                <w:szCs w:val="24"/>
              </w:rPr>
            </w:pPr>
          </w:p>
        </w:tc>
        <w:tc>
          <w:tcPr>
            <w:tcW w:w="1716" w:type="dxa"/>
            <w:tcBorders>
              <w:top w:val="nil"/>
              <w:left w:val="nil"/>
              <w:bottom w:val="single" w:color="auto" w:sz="4" w:space="0"/>
              <w:right w:val="nil"/>
            </w:tcBorders>
            <w:shd w:val="clear"/>
            <w:vAlign w:val="bottom"/>
          </w:tcPr>
          <w:p>
            <w:pPr>
              <w:rPr>
                <w:rFonts w:hint="eastAsia"/>
                <w:b/>
                <w:bCs/>
                <w:sz w:val="24"/>
                <w:szCs w:val="24"/>
              </w:rPr>
            </w:pPr>
          </w:p>
        </w:tc>
        <w:tc>
          <w:tcPr>
            <w:tcW w:w="1572" w:type="dxa"/>
            <w:tcBorders>
              <w:top w:val="nil"/>
              <w:left w:val="nil"/>
              <w:bottom w:val="single" w:color="auto" w:sz="4" w:space="0"/>
              <w:right w:val="nil"/>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序号</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应公开案件数</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已公开案件数</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有效公开案件数</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有效公开率</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公开文书笔录案件数</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文书笔录公开率</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电子送达案件数</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电子送达率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红石林区基层法院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0.96%</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107</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临江林区基层法院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59</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59</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1.69%</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抚松林区基层法院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204</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204</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204</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92</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江源林区基层法院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206</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0.49%</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通化铁路运输法院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77</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6</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长春铁路运输法院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202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99.50%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7</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白石山林区基层法院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155</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99.35%</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55</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8</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珲春林区基层法院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99.00%</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9</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吉林铁路运输法院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191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98.96%</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28</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10</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敦化林区基层法院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322</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98.47%</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0.31%</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11</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白城铁路运输法院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52</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52</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98.07%</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5.77%</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23</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12</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白河林区基层法院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347</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347</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339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97.69%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13</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延边铁路运输法院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103</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103</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97.08%</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4</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14</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汪清林区基层法院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96.79%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single" w:color="auto" w:sz="4" w:space="0"/>
            </w:tcBorders>
            <w:shd w:val="clear"/>
            <w:vAlign w:val="bottom"/>
          </w:tcPr>
          <w:p>
            <w:pPr>
              <w:rPr>
                <w:rFonts w:hint="eastAsia"/>
                <w:b/>
                <w:bCs/>
                <w:sz w:val="24"/>
                <w:szCs w:val="24"/>
              </w:rPr>
            </w:pPr>
            <w:r>
              <w:rPr>
                <w:rFonts w:hint="eastAsia"/>
                <w:b/>
                <w:bCs/>
                <w:sz w:val="24"/>
                <w:szCs w:val="24"/>
              </w:rPr>
              <w:t>15</w:t>
            </w: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和龙林区基层法院</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156</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156</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151</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96.79%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1.28%</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17</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single" w:color="auto" w:sz="4" w:space="0"/>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jc w:val="center"/>
        </w:trPr>
        <w:tc>
          <w:tcPr>
            <w:tcW w:w="612" w:type="dxa"/>
            <w:tcBorders>
              <w:top w:val="nil"/>
              <w:left w:val="single" w:color="auto" w:sz="4" w:space="0"/>
              <w:bottom w:val="nil"/>
              <w:right w:val="nil"/>
            </w:tcBorders>
            <w:shd w:val="clear"/>
            <w:vAlign w:val="bottom"/>
          </w:tcPr>
          <w:p>
            <w:pPr>
              <w:rPr>
                <w:rFonts w:hint="eastAsia"/>
                <w:b/>
                <w:bCs/>
                <w:sz w:val="24"/>
                <w:szCs w:val="24"/>
              </w:rPr>
            </w:pPr>
          </w:p>
        </w:tc>
        <w:tc>
          <w:tcPr>
            <w:tcW w:w="379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合计</w:t>
            </w:r>
          </w:p>
        </w:tc>
        <w:tc>
          <w:tcPr>
            <w:tcW w:w="14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2651</w:t>
            </w:r>
          </w:p>
        </w:tc>
        <w:tc>
          <w:tcPr>
            <w:tcW w:w="153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2651</w:t>
            </w:r>
          </w:p>
        </w:tc>
        <w:tc>
          <w:tcPr>
            <w:tcW w:w="87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100.00%</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2619</w:t>
            </w:r>
          </w:p>
        </w:tc>
        <w:tc>
          <w:tcPr>
            <w:tcW w:w="1248"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98.79%</w:t>
            </w:r>
          </w:p>
        </w:tc>
        <w:tc>
          <w:tcPr>
            <w:tcW w:w="21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11</w:t>
            </w:r>
          </w:p>
        </w:tc>
        <w:tc>
          <w:tcPr>
            <w:tcW w:w="144" w:type="dxa"/>
            <w:tcBorders>
              <w:top w:val="nil"/>
              <w:left w:val="nil"/>
              <w:bottom w:val="nil"/>
              <w:right w:val="nil"/>
            </w:tcBorders>
            <w:shd w:val="clear"/>
            <w:vAlign w:val="bottom"/>
          </w:tcPr>
          <w:p>
            <w:pPr>
              <w:rPr>
                <w:rFonts w:hint="eastAsia"/>
                <w:b/>
                <w:bCs/>
                <w:sz w:val="24"/>
                <w:szCs w:val="24"/>
              </w:rPr>
            </w:pPr>
          </w:p>
        </w:tc>
        <w:tc>
          <w:tcPr>
            <w:tcW w:w="159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0.41%</w:t>
            </w:r>
          </w:p>
        </w:tc>
        <w:tc>
          <w:tcPr>
            <w:tcW w:w="1716"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606</w:t>
            </w:r>
          </w:p>
        </w:tc>
        <w:tc>
          <w:tcPr>
            <w:tcW w:w="1572" w:type="dxa"/>
            <w:tcBorders>
              <w:top w:val="nil"/>
              <w:left w:val="nil"/>
              <w:bottom w:val="nil"/>
              <w:right w:val="single" w:color="auto" w:sz="4" w:space="0"/>
            </w:tcBorders>
            <w:shd w:val="clear"/>
            <w:vAlign w:val="bottom"/>
          </w:tcPr>
          <w:p>
            <w:pPr>
              <w:rPr>
                <w:rFonts w:hint="eastAsia"/>
                <w:b/>
                <w:bCs/>
                <w:sz w:val="24"/>
                <w:szCs w:val="24"/>
              </w:rPr>
            </w:pPr>
            <w:r>
              <w:rPr>
                <w:rFonts w:hint="eastAsia"/>
                <w:b/>
                <w:bCs/>
                <w:sz w:val="24"/>
                <w:szCs w:val="24"/>
              </w:rPr>
              <w:t>22.86%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 w:hRule="atLeast"/>
          <w:jc w:val="center"/>
        </w:trPr>
        <w:tc>
          <w:tcPr>
            <w:tcW w:w="612" w:type="dxa"/>
            <w:tcBorders>
              <w:top w:val="nil"/>
              <w:left w:val="single" w:color="auto" w:sz="4" w:space="0"/>
              <w:bottom w:val="single" w:color="auto" w:sz="4" w:space="0"/>
              <w:right w:val="nil"/>
            </w:tcBorders>
            <w:shd w:val="clear"/>
            <w:vAlign w:val="bottom"/>
          </w:tcPr>
          <w:p>
            <w:pPr>
              <w:rPr>
                <w:rFonts w:hint="eastAsia"/>
                <w:b/>
                <w:bCs/>
                <w:sz w:val="24"/>
                <w:szCs w:val="24"/>
              </w:rPr>
            </w:pPr>
          </w:p>
        </w:tc>
        <w:tc>
          <w:tcPr>
            <w:tcW w:w="3792"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3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87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248"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21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44" w:type="dxa"/>
            <w:tcBorders>
              <w:top w:val="nil"/>
              <w:left w:val="nil"/>
              <w:bottom w:val="single" w:color="auto" w:sz="4" w:space="0"/>
              <w:right w:val="nil"/>
            </w:tcBorders>
            <w:shd w:val="clear"/>
            <w:vAlign w:val="bottom"/>
          </w:tcPr>
          <w:p>
            <w:pPr>
              <w:rPr>
                <w:rFonts w:hint="eastAsia"/>
                <w:b/>
                <w:bCs/>
                <w:sz w:val="24"/>
                <w:szCs w:val="24"/>
              </w:rPr>
            </w:pPr>
          </w:p>
        </w:tc>
        <w:tc>
          <w:tcPr>
            <w:tcW w:w="159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716" w:type="dxa"/>
            <w:tcBorders>
              <w:top w:val="nil"/>
              <w:left w:val="nil"/>
              <w:bottom w:val="single" w:color="auto" w:sz="4" w:space="0"/>
              <w:right w:val="single" w:color="auto" w:sz="4" w:space="0"/>
            </w:tcBorders>
            <w:shd w:val="clear"/>
            <w:vAlign w:val="bottom"/>
          </w:tcPr>
          <w:p>
            <w:pPr>
              <w:rPr>
                <w:rFonts w:hint="eastAsia"/>
                <w:b/>
                <w:bCs/>
                <w:sz w:val="24"/>
                <w:szCs w:val="24"/>
              </w:rPr>
            </w:pPr>
          </w:p>
        </w:tc>
        <w:tc>
          <w:tcPr>
            <w:tcW w:w="1572" w:type="dxa"/>
            <w:tcBorders>
              <w:top w:val="nil"/>
              <w:left w:val="nil"/>
              <w:bottom w:val="single" w:color="auto" w:sz="4" w:space="0"/>
              <w:right w:val="single" w:color="auto" w:sz="4" w:space="0"/>
            </w:tcBorders>
            <w:shd w:val="clear"/>
            <w:vAlign w:val="bottom"/>
          </w:tcPr>
          <w:p>
            <w:pPr>
              <w:rPr>
                <w:rFonts w:hint="eastAsia"/>
                <w:b/>
                <w:bCs/>
                <w:sz w:val="24"/>
                <w:szCs w:val="24"/>
              </w:rPr>
            </w:pPr>
          </w:p>
        </w:tc>
      </w:tr>
    </w:tbl>
    <w:p>
      <w:pPr>
        <w:rPr>
          <w:rFonts w:hint="eastAsia"/>
          <w:b/>
          <w:bCs/>
          <w:sz w:val="24"/>
          <w:szCs w:val="24"/>
        </w:rPr>
      </w:pPr>
      <w:r>
        <w:rPr>
          <w:rFonts w:hint="eastAsia"/>
          <w:b/>
          <w:bCs/>
          <w:sz w:val="24"/>
          <w:szCs w:val="24"/>
        </w:rPr>
        <w:t> </w:t>
      </w:r>
    </w:p>
    <w:p>
      <w:pPr>
        <w:rPr>
          <w:rFonts w:hint="eastAsia"/>
          <w:b/>
          <w:bCs/>
          <w:sz w:val="24"/>
          <w:szCs w:val="24"/>
        </w:rPr>
      </w:pPr>
    </w:p>
    <w:p>
      <w:pPr>
        <w:rPr>
          <w:rFonts w:hint="eastAsia"/>
          <w:b/>
          <w:bCs/>
          <w:sz w:val="24"/>
          <w:szCs w:val="24"/>
        </w:rPr>
      </w:pPr>
      <w:r>
        <w:rPr>
          <w:rFonts w:hint="eastAsia"/>
          <w:b/>
          <w:bCs/>
          <w:sz w:val="24"/>
          <w:szCs w:val="24"/>
        </w:rPr>
        <w:drawing>
          <wp:inline distT="0" distB="0" distL="114300" distR="114300">
            <wp:extent cx="14639925" cy="952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4639925" cy="9525"/>
                    </a:xfrm>
                    <a:prstGeom prst="rect">
                      <a:avLst/>
                    </a:prstGeom>
                    <a:noFill/>
                    <a:ln w="9525">
                      <a:noFill/>
                    </a:ln>
                  </pic:spPr>
                </pic:pic>
              </a:graphicData>
            </a:graphic>
          </wp:inline>
        </w:drawing>
      </w:r>
      <w:r>
        <w:rPr>
          <w:rFonts w:hint="eastAsia"/>
          <w:b/>
          <w:bCs/>
          <w:sz w:val="24"/>
          <w:szCs w:val="24"/>
        </w:rPr>
        <w:t>说明：1、本表数据来源于全国审判流程信息管理平台—可视化管理；</w:t>
      </w:r>
    </w:p>
    <w:p>
      <w:pPr>
        <w:rPr>
          <w:rFonts w:hint="eastAsia"/>
          <w:b/>
          <w:bCs/>
          <w:sz w:val="24"/>
          <w:szCs w:val="24"/>
        </w:rPr>
      </w:pPr>
      <w:r>
        <w:rPr>
          <w:rFonts w:hint="eastAsia"/>
          <w:b/>
          <w:bCs/>
          <w:sz w:val="24"/>
          <w:szCs w:val="24"/>
        </w:rPr>
        <w:t> </w:t>
      </w:r>
    </w:p>
    <w:p>
      <w:pPr>
        <w:rPr>
          <w:rFonts w:hint="eastAsia"/>
          <w:b/>
          <w:bCs/>
          <w:sz w:val="24"/>
          <w:szCs w:val="24"/>
        </w:rPr>
      </w:pPr>
      <w:r>
        <w:rPr>
          <w:rFonts w:hint="eastAsia"/>
          <w:b/>
          <w:bCs/>
          <w:sz w:val="24"/>
          <w:szCs w:val="24"/>
        </w:rPr>
        <w:t>2、本表数据统计区间为2019年1月1日-2019年9月30日；</w:t>
      </w:r>
    </w:p>
    <w:p>
      <w:pPr>
        <w:rPr>
          <w:rFonts w:hint="eastAsia"/>
          <w:b/>
          <w:bCs/>
          <w:sz w:val="24"/>
          <w:szCs w:val="24"/>
        </w:rPr>
      </w:pPr>
      <w:r>
        <w:rPr>
          <w:rFonts w:hint="eastAsia"/>
          <w:b/>
          <w:bCs/>
          <w:sz w:val="24"/>
          <w:szCs w:val="24"/>
        </w:rPr>
        <w:t> </w:t>
      </w:r>
    </w:p>
    <w:p>
      <w:pPr>
        <w:rPr>
          <w:rFonts w:hint="eastAsia"/>
          <w:b/>
          <w:bCs/>
          <w:sz w:val="24"/>
          <w:szCs w:val="24"/>
        </w:rPr>
      </w:pPr>
      <w:r>
        <w:rPr>
          <w:rFonts w:hint="eastAsia"/>
          <w:b/>
          <w:bCs/>
          <w:sz w:val="24"/>
          <w:szCs w:val="24"/>
        </w:rPr>
        <w:t>3、公开率=已公开案件数/应公开案件数 ；</w:t>
      </w:r>
    </w:p>
    <w:p>
      <w:pPr>
        <w:rPr>
          <w:rFonts w:hint="eastAsia"/>
          <w:b/>
          <w:bCs/>
          <w:sz w:val="24"/>
          <w:szCs w:val="24"/>
        </w:rPr>
      </w:pPr>
      <w:r>
        <w:rPr>
          <w:rFonts w:hint="eastAsia"/>
          <w:b/>
          <w:bCs/>
          <w:sz w:val="24"/>
          <w:szCs w:val="24"/>
        </w:rPr>
        <w:t> </w:t>
      </w:r>
    </w:p>
    <w:p>
      <w:pPr>
        <w:rPr>
          <w:rFonts w:hint="eastAsia"/>
          <w:b/>
          <w:bCs/>
          <w:sz w:val="24"/>
          <w:szCs w:val="24"/>
        </w:rPr>
      </w:pPr>
      <w:r>
        <w:rPr>
          <w:rFonts w:hint="eastAsia"/>
          <w:b/>
          <w:bCs/>
          <w:sz w:val="24"/>
          <w:szCs w:val="24"/>
        </w:rPr>
        <w:t>4、有效公开率=有效公开案件数/应公开案件数*100%；</w:t>
      </w:r>
    </w:p>
    <w:p>
      <w:pPr>
        <w:rPr>
          <w:rFonts w:hint="eastAsia"/>
          <w:b/>
          <w:bCs/>
          <w:sz w:val="24"/>
          <w:szCs w:val="24"/>
        </w:rPr>
      </w:pPr>
      <w:r>
        <w:rPr>
          <w:rFonts w:hint="eastAsia"/>
          <w:b/>
          <w:bCs/>
          <w:sz w:val="24"/>
          <w:szCs w:val="24"/>
        </w:rPr>
        <w:t> </w:t>
      </w:r>
    </w:p>
    <w:p>
      <w:pPr>
        <w:rPr>
          <w:rFonts w:hint="eastAsia"/>
          <w:b/>
          <w:bCs/>
          <w:sz w:val="24"/>
          <w:szCs w:val="24"/>
        </w:rPr>
      </w:pPr>
      <w:r>
        <w:rPr>
          <w:rFonts w:hint="eastAsia"/>
          <w:b/>
          <w:bCs/>
          <w:sz w:val="24"/>
          <w:szCs w:val="24"/>
        </w:rPr>
        <w:t>5、有效公开案件数=统计期（收案日期）内已公开案件范围内，案件中至少有一个当事人/代理人成功生成中国审判流程信息公开网用户的案件数量。</w:t>
      </w:r>
    </w:p>
    <w:p>
      <w:pPr>
        <w:rPr>
          <w:rFonts w:hint="eastAsia"/>
          <w:b/>
          <w:bCs/>
          <w:sz w:val="24"/>
          <w:szCs w:val="24"/>
        </w:rPr>
      </w:pPr>
      <w:r>
        <w:rPr>
          <w:rFonts w:hint="eastAsia"/>
          <w:b/>
          <w:bCs/>
          <w:sz w:val="24"/>
          <w:szCs w:val="24"/>
        </w:rPr>
        <w:t> </w:t>
      </w:r>
    </w:p>
    <w:p>
      <w:pPr>
        <w:rPr>
          <w:rFonts w:hint="eastAsia"/>
          <w:b/>
          <w:bCs/>
          <w:sz w:val="24"/>
          <w:szCs w:val="24"/>
        </w:rPr>
      </w:pPr>
      <w:r>
        <w:rPr>
          <w:rFonts w:hint="eastAsia"/>
          <w:b/>
          <w:bCs/>
          <w:sz w:val="24"/>
          <w:szCs w:val="24"/>
        </w:rPr>
        <w:t>6、文书笔录公开率＝公开文书笔录案件数/已公开案件数*100%；</w:t>
      </w:r>
    </w:p>
    <w:p>
      <w:pPr>
        <w:rPr>
          <w:rFonts w:hint="eastAsia"/>
          <w:b/>
          <w:bCs/>
          <w:sz w:val="24"/>
          <w:szCs w:val="24"/>
        </w:rPr>
      </w:pPr>
      <w:r>
        <w:rPr>
          <w:rFonts w:hint="eastAsia"/>
          <w:b/>
          <w:bCs/>
          <w:sz w:val="24"/>
          <w:szCs w:val="24"/>
        </w:rPr>
        <w:t> </w:t>
      </w:r>
    </w:p>
    <w:p>
      <w:pPr>
        <w:rPr>
          <w:rFonts w:hint="eastAsia"/>
          <w:b/>
          <w:bCs/>
          <w:sz w:val="24"/>
          <w:szCs w:val="24"/>
        </w:rPr>
      </w:pPr>
      <w:r>
        <w:rPr>
          <w:rFonts w:hint="eastAsia"/>
          <w:b/>
          <w:bCs/>
          <w:sz w:val="24"/>
          <w:szCs w:val="24"/>
        </w:rPr>
        <w:t>7、电子送达率＝电子送达成功案件数/已公开案件数*100%。</w:t>
      </w:r>
    </w:p>
    <w:p>
      <w:pPr>
        <w:rPr>
          <w:rFonts w:hint="eastAsia"/>
          <w:b/>
          <w:bCs/>
          <w:sz w:val="24"/>
          <w:szCs w:val="24"/>
        </w:rPr>
      </w:pPr>
      <w:r>
        <w:rPr>
          <w:rFonts w:hint="eastAsia"/>
          <w:b/>
          <w:bCs/>
          <w:sz w:val="24"/>
          <w:szCs w:val="24"/>
        </w:rPr>
        <w:t> </w:t>
      </w:r>
    </w:p>
    <w:p>
      <w:pPr>
        <w:rPr>
          <w:rFonts w:hint="eastAsia"/>
          <w:b/>
          <w:bCs/>
          <w:sz w:val="24"/>
          <w:szCs w:val="24"/>
        </w:rPr>
      </w:pPr>
      <w:r>
        <w:rPr>
          <w:rFonts w:hint="eastAsia"/>
          <w:b/>
          <w:bCs/>
          <w:sz w:val="24"/>
          <w:szCs w:val="24"/>
        </w:rPr>
        <w:t>数据核对人：姜雨泽                          联系电话：0431-88556961</w:t>
      </w:r>
    </w:p>
    <w:p>
      <w:pPr>
        <w:rPr>
          <w:rFonts w:hint="eastAsia"/>
          <w:b/>
          <w:bCs/>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C61D1"/>
    <w:rsid w:val="09093AAB"/>
    <w:rsid w:val="279C136E"/>
    <w:rsid w:val="2EA217DE"/>
    <w:rsid w:val="45427930"/>
    <w:rsid w:val="5AB24F84"/>
    <w:rsid w:val="5D8549EB"/>
    <w:rsid w:val="5EB1031C"/>
    <w:rsid w:val="5EE314B0"/>
    <w:rsid w:val="61964A3B"/>
    <w:rsid w:val="757E1EE9"/>
    <w:rsid w:val="7E67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LINYEFAYUAN</dc:creator>
  <cp:lastModifiedBy>LY&amp;LTW</cp:lastModifiedBy>
  <dcterms:modified xsi:type="dcterms:W3CDTF">2019-11-13T04:44:43Z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