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32"/>
        </w:rPr>
        <w:t>延边林区中级法院辖区2019年</w:t>
      </w:r>
      <w:r>
        <w:rPr>
          <w:rFonts w:hint="eastAsia"/>
          <w:b/>
          <w:sz w:val="32"/>
          <w:lang w:val="en-US" w:eastAsia="zh-CN"/>
        </w:rPr>
        <w:t>1-11月</w:t>
      </w:r>
      <w:r>
        <w:rPr>
          <w:rFonts w:hint="eastAsia"/>
          <w:b/>
          <w:sz w:val="32"/>
        </w:rPr>
        <w:t>司法统计分析报告</w:t>
      </w:r>
    </w:p>
    <w:p>
      <w:pPr>
        <w:ind w:firstLine="400"/>
        <w:jc w:val="left"/>
        <w:rPr>
          <w:rFonts w:ascii="宋体" w:eastAsia="宋体"/>
          <w:sz w:val="28"/>
        </w:rPr>
      </w:pPr>
    </w:p>
    <w:p>
      <w:pPr>
        <w:ind w:firstLine="400"/>
        <w:jc w:val="left"/>
      </w:pPr>
      <w:bookmarkStart w:id="0" w:name="_GoBack"/>
      <w:bookmarkEnd w:id="0"/>
      <w:r>
        <w:rPr>
          <w:rFonts w:ascii="宋体" w:eastAsia="宋体"/>
          <w:sz w:val="28"/>
        </w:rPr>
        <w:t>2019年01月至2019年11月延边林区中级法院辖区内,全部案件数</w:t>
      </w:r>
      <w:r>
        <w:rPr>
          <w:rFonts w:ascii="宋体" w:eastAsia="宋体"/>
          <w:color w:val="FF0000"/>
          <w:sz w:val="28"/>
        </w:rPr>
        <w:t>2730</w:t>
      </w:r>
      <w:r>
        <w:rPr>
          <w:rFonts w:ascii="宋体" w:eastAsia="宋体"/>
          <w:sz w:val="28"/>
        </w:rPr>
        <w:t>件,全部新收案件数</w:t>
      </w:r>
      <w:r>
        <w:rPr>
          <w:rFonts w:ascii="宋体" w:eastAsia="宋体"/>
          <w:color w:val="FF0000"/>
          <w:sz w:val="28"/>
        </w:rPr>
        <w:t>2518</w:t>
      </w:r>
      <w:r>
        <w:rPr>
          <w:rFonts w:ascii="宋体" w:eastAsia="宋体"/>
          <w:sz w:val="28"/>
        </w:rPr>
        <w:t>件,同比</w:t>
      </w:r>
      <w:r>
        <w:rPr>
          <w:rFonts w:ascii="宋体" w:eastAsia="宋体"/>
          <w:color w:val="FF0000"/>
          <w:sz w:val="28"/>
        </w:rPr>
        <w:t>2276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10.6%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2129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18.3%</w:t>
      </w:r>
      <w:r>
        <w:rPr>
          <w:rFonts w:ascii="宋体" w:eastAsia="宋体"/>
          <w:sz w:val="28"/>
        </w:rPr>
        <w:t>;全部旧存案件数</w:t>
      </w:r>
      <w:r>
        <w:rPr>
          <w:rFonts w:ascii="宋体" w:eastAsia="宋体"/>
          <w:color w:val="FF0000"/>
          <w:sz w:val="28"/>
        </w:rPr>
        <w:t>212</w:t>
      </w:r>
      <w:r>
        <w:rPr>
          <w:rFonts w:ascii="宋体" w:eastAsia="宋体"/>
          <w:sz w:val="28"/>
        </w:rPr>
        <w:t>件,同比</w:t>
      </w:r>
      <w:r>
        <w:rPr>
          <w:rFonts w:ascii="宋体" w:eastAsia="宋体"/>
          <w:color w:val="FF0000"/>
          <w:sz w:val="28"/>
        </w:rPr>
        <w:t>210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453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53.2%</w:t>
      </w:r>
      <w:r>
        <w:rPr>
          <w:rFonts w:ascii="宋体" w:eastAsia="宋体"/>
          <w:sz w:val="28"/>
        </w:rPr>
        <w:t>;全部案件结案率</w:t>
      </w:r>
      <w:r>
        <w:rPr>
          <w:rFonts w:ascii="宋体" w:eastAsia="宋体"/>
          <w:color w:val="FF0000"/>
          <w:sz w:val="28"/>
        </w:rPr>
        <w:t>83.7%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91.8%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8.8%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91.8%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8.8%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全部新收案件中,借款合同纠纷类案件</w:t>
      </w:r>
      <w:r>
        <w:rPr>
          <w:rFonts w:ascii="宋体" w:eastAsia="宋体"/>
          <w:color w:val="FF0000"/>
          <w:sz w:val="28"/>
        </w:rPr>
        <w:t>276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31.7%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15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1740.0%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14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1871.4%</w:t>
      </w:r>
      <w:r>
        <w:rPr>
          <w:rFonts w:ascii="宋体" w:eastAsia="宋体"/>
          <w:sz w:val="28"/>
        </w:rPr>
        <w:t>;民间借贷纠纷类案件</w:t>
      </w:r>
      <w:r>
        <w:rPr>
          <w:rFonts w:ascii="宋体" w:eastAsia="宋体"/>
          <w:color w:val="FF0000"/>
          <w:sz w:val="28"/>
        </w:rPr>
        <w:t>225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25.8%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181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24.3%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166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35.5%</w:t>
      </w:r>
      <w:r>
        <w:rPr>
          <w:rFonts w:ascii="宋体" w:eastAsia="宋体"/>
          <w:sz w:val="28"/>
        </w:rPr>
        <w:t>;离婚纠纷类案件</w:t>
      </w:r>
      <w:r>
        <w:rPr>
          <w:rFonts w:ascii="宋体" w:eastAsia="宋体"/>
          <w:color w:val="FF0000"/>
          <w:sz w:val="28"/>
        </w:rPr>
        <w:t>125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14.3%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160</w:t>
      </w:r>
      <w:r>
        <w:rPr>
          <w:rFonts w:ascii="宋体" w:eastAsia="宋体"/>
          <w:sz w:val="28"/>
        </w:rPr>
        <w:t>件,同比下降</w:t>
      </w:r>
      <w:r>
        <w:rPr>
          <w:rFonts w:ascii="宋体" w:eastAsia="宋体"/>
          <w:color w:val="FF0000"/>
          <w:sz w:val="28"/>
        </w:rPr>
        <w:t>21.9%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146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14.4%</w:t>
      </w:r>
      <w:r>
        <w:rPr>
          <w:rFonts w:ascii="宋体" w:eastAsia="宋体"/>
          <w:sz w:val="28"/>
        </w:rPr>
        <w:t>;物业服务合同纠纷类案件</w:t>
      </w:r>
      <w:r>
        <w:rPr>
          <w:rFonts w:ascii="宋体" w:eastAsia="宋体"/>
          <w:color w:val="FF0000"/>
          <w:sz w:val="28"/>
        </w:rPr>
        <w:t>129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14.8%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47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174.5%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47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174.5%</w:t>
      </w:r>
      <w:r>
        <w:rPr>
          <w:rFonts w:ascii="宋体" w:eastAsia="宋体"/>
          <w:sz w:val="28"/>
        </w:rPr>
        <w:t>;财产损害赔偿纠纷类案件</w:t>
      </w:r>
      <w:r>
        <w:rPr>
          <w:rFonts w:ascii="宋体" w:eastAsia="宋体"/>
          <w:color w:val="FF0000"/>
          <w:sz w:val="28"/>
        </w:rPr>
        <w:t>117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13.4%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50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134.0%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32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265.6%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全部旧存案件中,借款合同纠纷类案件</w:t>
      </w:r>
      <w:r>
        <w:rPr>
          <w:rFonts w:ascii="宋体" w:eastAsia="宋体"/>
          <w:color w:val="FF0000"/>
          <w:sz w:val="28"/>
        </w:rPr>
        <w:t>14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24.6%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133.3%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9</w:t>
      </w:r>
      <w:r>
        <w:rPr>
          <w:rFonts w:ascii="宋体" w:eastAsia="宋体"/>
          <w:sz w:val="28"/>
        </w:rPr>
        <w:t>件,环比增长</w:t>
      </w:r>
      <w:r>
        <w:rPr>
          <w:rFonts w:ascii="宋体" w:eastAsia="宋体"/>
          <w:color w:val="FF0000"/>
          <w:sz w:val="28"/>
        </w:rPr>
        <w:t>55.6%</w:t>
      </w:r>
      <w:r>
        <w:rPr>
          <w:rFonts w:ascii="宋体" w:eastAsia="宋体"/>
          <w:sz w:val="28"/>
        </w:rPr>
        <w:t>;民间借贷纠纷类案件</w:t>
      </w:r>
      <w:r>
        <w:rPr>
          <w:rFonts w:ascii="宋体" w:eastAsia="宋体"/>
          <w:color w:val="FF0000"/>
          <w:sz w:val="28"/>
        </w:rPr>
        <w:t>21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36.8%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13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61.5%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37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43.2%</w:t>
      </w:r>
      <w:r>
        <w:rPr>
          <w:rFonts w:ascii="宋体" w:eastAsia="宋体"/>
          <w:sz w:val="28"/>
        </w:rPr>
        <w:t>;离婚纠纷类案件</w:t>
      </w:r>
      <w:r>
        <w:rPr>
          <w:rFonts w:ascii="宋体" w:eastAsia="宋体"/>
          <w:color w:val="FF0000"/>
          <w:sz w:val="28"/>
        </w:rPr>
        <w:t>15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26.3%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150.0%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21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28.6%</w:t>
      </w:r>
      <w:r>
        <w:rPr>
          <w:rFonts w:ascii="宋体" w:eastAsia="宋体"/>
          <w:sz w:val="28"/>
        </w:rPr>
        <w:t>;物业服务合同纠纷类案件</w:t>
      </w:r>
      <w:r>
        <w:rPr>
          <w:rFonts w:ascii="宋体" w:eastAsia="宋体"/>
          <w:color w:val="FF0000"/>
          <w:sz w:val="28"/>
        </w:rPr>
        <w:t>0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0.0%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0</w:t>
      </w:r>
      <w:r>
        <w:rPr>
          <w:rFonts w:ascii="宋体" w:eastAsia="宋体"/>
          <w:sz w:val="28"/>
        </w:rPr>
        <w:t>件,同比稳定,环比</w:t>
      </w:r>
      <w:r>
        <w:rPr>
          <w:rFonts w:ascii="宋体" w:eastAsia="宋体"/>
          <w:color w:val="FF0000"/>
          <w:sz w:val="28"/>
        </w:rPr>
        <w:t>0</w:t>
      </w:r>
      <w:r>
        <w:rPr>
          <w:rFonts w:ascii="宋体" w:eastAsia="宋体"/>
          <w:sz w:val="28"/>
        </w:rPr>
        <w:t>件,环比稳定;财产损害赔偿纠纷类案件</w:t>
      </w:r>
      <w:r>
        <w:rPr>
          <w:rFonts w:ascii="宋体" w:eastAsia="宋体"/>
          <w:color w:val="FF0000"/>
          <w:sz w:val="28"/>
        </w:rPr>
        <w:t>7</w:t>
      </w:r>
      <w:r>
        <w:rPr>
          <w:rFonts w:ascii="宋体" w:eastAsia="宋体"/>
          <w:sz w:val="28"/>
        </w:rPr>
        <w:t>件,占比</w:t>
      </w:r>
      <w:r>
        <w:rPr>
          <w:rFonts w:ascii="宋体" w:eastAsia="宋体"/>
          <w:color w:val="FF0000"/>
          <w:sz w:val="28"/>
        </w:rPr>
        <w:t>12.3%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2</w:t>
      </w:r>
      <w:r>
        <w:rPr>
          <w:rFonts w:ascii="宋体" w:eastAsia="宋体"/>
          <w:sz w:val="28"/>
        </w:rPr>
        <w:t>件,同比增长</w:t>
      </w:r>
      <w:r>
        <w:rPr>
          <w:rFonts w:ascii="宋体" w:eastAsia="宋体"/>
          <w:color w:val="FF0000"/>
          <w:sz w:val="28"/>
        </w:rPr>
        <w:t>250.0%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23</w:t>
      </w:r>
      <w:r>
        <w:rPr>
          <w:rFonts w:ascii="宋体" w:eastAsia="宋体"/>
          <w:sz w:val="28"/>
        </w:rPr>
        <w:t>件,环比下降</w:t>
      </w:r>
      <w:r>
        <w:rPr>
          <w:rFonts w:ascii="宋体" w:eastAsia="宋体"/>
          <w:color w:val="FF0000"/>
          <w:sz w:val="28"/>
        </w:rPr>
        <w:t>69.6%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pPr>
        <w:ind w:firstLine="400"/>
        <w:jc w:val="left"/>
      </w:pPr>
      <w:r>
        <w:rPr>
          <w:rFonts w:ascii="宋体" w:eastAsia="宋体"/>
          <w:sz w:val="28"/>
        </w:rPr>
        <w:t>全部结案率中,借款合同纠纷类案件结案率</w:t>
      </w:r>
      <w:r>
        <w:rPr>
          <w:rFonts w:ascii="宋体" w:eastAsia="宋体"/>
          <w:color w:val="FF0000"/>
          <w:sz w:val="28"/>
        </w:rPr>
        <w:t>62.8%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66.7%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5.9%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69.6%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9.8%</w:t>
      </w:r>
      <w:r>
        <w:rPr>
          <w:rFonts w:ascii="宋体" w:eastAsia="宋体"/>
          <w:sz w:val="28"/>
        </w:rPr>
        <w:t>;民间借贷纠纷类案件结案率</w:t>
      </w:r>
      <w:r>
        <w:rPr>
          <w:rFonts w:ascii="宋体" w:eastAsia="宋体"/>
          <w:color w:val="FF0000"/>
          <w:sz w:val="28"/>
        </w:rPr>
        <w:t>89.4%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90.2%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0.9%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89.7%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0.3%</w:t>
      </w:r>
      <w:r>
        <w:rPr>
          <w:rFonts w:ascii="宋体" w:eastAsia="宋体"/>
          <w:sz w:val="28"/>
        </w:rPr>
        <w:t>;离婚纠纷类案件结案率</w:t>
      </w:r>
      <w:r>
        <w:rPr>
          <w:rFonts w:ascii="宋体" w:eastAsia="宋体"/>
          <w:color w:val="FF0000"/>
          <w:sz w:val="28"/>
        </w:rPr>
        <w:t>92.1%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94.6%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2.6%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91%</w:t>
      </w:r>
      <w:r>
        <w:rPr>
          <w:rFonts w:ascii="宋体" w:eastAsia="宋体"/>
          <w:sz w:val="28"/>
        </w:rPr>
        <w:t>,环比增长</w:t>
      </w:r>
      <w:r>
        <w:rPr>
          <w:rFonts w:ascii="宋体" w:eastAsia="宋体"/>
          <w:color w:val="FF0000"/>
          <w:sz w:val="28"/>
        </w:rPr>
        <w:t>1.2%</w:t>
      </w:r>
      <w:r>
        <w:rPr>
          <w:rFonts w:ascii="宋体" w:eastAsia="宋体"/>
          <w:sz w:val="28"/>
        </w:rPr>
        <w:t>;物业服务合同纠纷类案件结案率</w:t>
      </w:r>
      <w:r>
        <w:rPr>
          <w:rFonts w:ascii="宋体" w:eastAsia="宋体"/>
          <w:color w:val="FF0000"/>
          <w:sz w:val="28"/>
        </w:rPr>
        <w:t>79.8%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100%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20.2%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100%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20.2%</w:t>
      </w:r>
      <w:r>
        <w:rPr>
          <w:rFonts w:ascii="宋体" w:eastAsia="宋体"/>
          <w:sz w:val="28"/>
        </w:rPr>
        <w:t>;财产损害赔偿纠纷类案件结案率</w:t>
      </w:r>
      <w:r>
        <w:rPr>
          <w:rFonts w:ascii="宋体" w:eastAsia="宋体"/>
          <w:color w:val="FF0000"/>
          <w:sz w:val="28"/>
        </w:rPr>
        <w:t>71%</w:t>
      </w:r>
      <w:r>
        <w:rPr>
          <w:rFonts w:ascii="宋体" w:eastAsia="宋体"/>
          <w:sz w:val="28"/>
        </w:rPr>
        <w:t>,同比</w:t>
      </w:r>
      <w:r>
        <w:rPr>
          <w:rFonts w:ascii="宋体" w:eastAsia="宋体"/>
          <w:color w:val="FF0000"/>
          <w:sz w:val="28"/>
        </w:rPr>
        <w:t>88.5%</w:t>
      </w:r>
      <w:r>
        <w:rPr>
          <w:rFonts w:ascii="宋体" w:eastAsia="宋体"/>
          <w:sz w:val="28"/>
        </w:rPr>
        <w:t>,同比下降</w:t>
      </w:r>
      <w:r>
        <w:rPr>
          <w:rFonts w:ascii="宋体" w:eastAsia="宋体"/>
          <w:color w:val="FF0000"/>
          <w:sz w:val="28"/>
        </w:rPr>
        <w:t>19.8%</w:t>
      </w:r>
      <w:r>
        <w:rPr>
          <w:rFonts w:ascii="宋体" w:eastAsia="宋体"/>
          <w:sz w:val="28"/>
        </w:rPr>
        <w:t>,环比</w:t>
      </w:r>
      <w:r>
        <w:rPr>
          <w:rFonts w:ascii="宋体" w:eastAsia="宋体"/>
          <w:color w:val="FF0000"/>
          <w:sz w:val="28"/>
        </w:rPr>
        <w:t>87.3%</w:t>
      </w:r>
      <w:r>
        <w:rPr>
          <w:rFonts w:ascii="宋体" w:eastAsia="宋体"/>
          <w:sz w:val="28"/>
        </w:rPr>
        <w:t>,环比下降</w:t>
      </w:r>
      <w:r>
        <w:rPr>
          <w:rFonts w:ascii="宋体" w:eastAsia="宋体"/>
          <w:color w:val="FF0000"/>
          <w:sz w:val="28"/>
        </w:rPr>
        <w:t>18.7%</w:t>
      </w:r>
      <w:r>
        <w:rPr>
          <w:rFonts w:ascii="宋体" w:eastAsia="宋体"/>
          <w:sz w:val="28"/>
        </w:rPr>
        <w:t>。</w:t>
      </w:r>
      <w:r>
        <w:br w:type="textWrapping"/>
      </w:r>
    </w:p>
    <w:p>
      <w:r>
        <w:drawing>
          <wp:inline distT="0" distB="0" distL="0" distR="0">
            <wp:extent cx="5238750" cy="5238750"/>
            <wp:effectExtent l="0" t="0" r="3810" b="3810"/>
            <wp:docPr id="1" name="图片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2625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Office_11.1.0.9175_F1E327BC-269C-435d-A152-05C5408002CA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2019-11-13T08:00:00Z</dcterms:created>
  <dc:creator>Apache POI</dc:creator>
  <cp:lastModifiedBy>LY&amp;LTW</cp:lastModifiedBy>
  <dcterms:modified xsi:type="dcterms:W3CDTF">2019-11-13T08:00:54Z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