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3B9D" w:rsidRDefault="00873B9D" w:rsidP="00873B9D">
      <w:pPr>
        <w:widowControl/>
        <w:jc w:val="center"/>
        <w:rPr>
          <w:rStyle w:val="a4"/>
          <w:rFonts w:asciiTheme="majorEastAsia" w:eastAsiaTheme="majorEastAsia" w:hAnsiTheme="majorEastAsia" w:cs="宋体" w:hint="eastAsia"/>
          <w:b w:val="0"/>
          <w:kern w:val="0"/>
          <w:sz w:val="44"/>
          <w:szCs w:val="44"/>
          <w:lang/>
        </w:rPr>
      </w:pPr>
      <w:r w:rsidRPr="00873B9D">
        <w:rPr>
          <w:rStyle w:val="a4"/>
          <w:rFonts w:asciiTheme="majorEastAsia" w:eastAsiaTheme="majorEastAsia" w:hAnsiTheme="majorEastAsia" w:cs="宋体" w:hint="eastAsia"/>
          <w:b w:val="0"/>
          <w:kern w:val="0"/>
          <w:sz w:val="44"/>
          <w:szCs w:val="44"/>
          <w:lang/>
        </w:rPr>
        <w:t>行政一审案件诉讼指南</w:t>
      </w:r>
    </w:p>
    <w:p w:rsidR="00873B9D" w:rsidRPr="00873B9D" w:rsidRDefault="00873B9D" w:rsidP="00873B9D">
      <w:pPr>
        <w:widowControl/>
        <w:jc w:val="center"/>
        <w:rPr>
          <w:rStyle w:val="a4"/>
          <w:rFonts w:asciiTheme="majorEastAsia" w:eastAsiaTheme="majorEastAsia" w:hAnsiTheme="majorEastAsia" w:cs="宋体" w:hint="eastAsia"/>
          <w:b w:val="0"/>
          <w:kern w:val="0"/>
          <w:sz w:val="44"/>
          <w:szCs w:val="44"/>
          <w:lang/>
        </w:rPr>
      </w:pPr>
    </w:p>
    <w:p w:rsidR="00873B9D" w:rsidRDefault="00873B9D" w:rsidP="00873B9D">
      <w:pPr>
        <w:widowControl/>
        <w:jc w:val="left"/>
        <w:rPr>
          <w:rStyle w:val="a4"/>
          <w:rFonts w:ascii="仿宋" w:eastAsia="仿宋" w:hAnsi="仿宋" w:cs="宋体" w:hint="eastAsia"/>
          <w:kern w:val="0"/>
          <w:sz w:val="32"/>
          <w:szCs w:val="32"/>
          <w:lang/>
        </w:rPr>
      </w:pPr>
      <w:r w:rsidRPr="00873B9D">
        <w:rPr>
          <w:rStyle w:val="a4"/>
          <w:rFonts w:ascii="仿宋" w:eastAsia="仿宋" w:hAnsi="仿宋" w:cs="宋体"/>
          <w:kern w:val="0"/>
          <w:sz w:val="32"/>
          <w:szCs w:val="32"/>
          <w:lang/>
        </w:rPr>
        <w:t>当事人提起行政一审诉讼的，应当符合以下条件：</w:t>
      </w:r>
    </w:p>
    <w:p w:rsidR="00033F7F" w:rsidRPr="00873B9D" w:rsidRDefault="00873B9D" w:rsidP="00873B9D">
      <w:pPr>
        <w:widowControl/>
        <w:jc w:val="left"/>
        <w:rPr>
          <w:rFonts w:ascii="仿宋" w:eastAsia="仿宋" w:hAnsi="仿宋" w:cs="宋体" w:hint="eastAsia"/>
          <w:b/>
          <w:kern w:val="0"/>
          <w:sz w:val="32"/>
          <w:szCs w:val="32"/>
          <w:lang/>
        </w:rPr>
      </w:pPr>
      <w:r>
        <w:rPr>
          <w:rStyle w:val="a4"/>
          <w:rFonts w:ascii="仿宋" w:eastAsia="仿宋" w:hAnsi="仿宋" w:cs="宋体" w:hint="eastAsia"/>
          <w:kern w:val="0"/>
          <w:sz w:val="32"/>
          <w:szCs w:val="32"/>
          <w:lang/>
        </w:rPr>
        <w:t>第一步：</w:t>
      </w:r>
      <w:r w:rsidRPr="00873B9D">
        <w:rPr>
          <w:rStyle w:val="a4"/>
          <w:rFonts w:ascii="仿宋" w:eastAsia="仿宋" w:hAnsi="仿宋" w:cs="宋体"/>
          <w:kern w:val="0"/>
          <w:sz w:val="32"/>
          <w:szCs w:val="32"/>
          <w:lang/>
        </w:rPr>
        <w:br/>
      </w:r>
      <w:r w:rsidRPr="00873B9D">
        <w:rPr>
          <w:rFonts w:ascii="仿宋" w:eastAsia="仿宋" w:hAnsi="仿宋" w:cs="宋体"/>
          <w:kern w:val="0"/>
          <w:sz w:val="32"/>
          <w:szCs w:val="32"/>
          <w:lang/>
        </w:rPr>
        <w:t>1.</w:t>
      </w:r>
      <w:r w:rsidRPr="00873B9D">
        <w:rPr>
          <w:rFonts w:ascii="仿宋" w:eastAsia="仿宋" w:hAnsi="仿宋" w:cs="宋体"/>
          <w:kern w:val="0"/>
          <w:sz w:val="32"/>
          <w:szCs w:val="32"/>
          <w:lang/>
        </w:rPr>
        <w:t>提起诉讼的人，即原告是符合行政诉讼法第二十五条规定的公民、法人或者其他组织；</w:t>
      </w:r>
      <w:r w:rsidRPr="00873B9D">
        <w:rPr>
          <w:rFonts w:ascii="仿宋" w:eastAsia="仿宋" w:hAnsi="仿宋" w:cs="宋体"/>
          <w:kern w:val="0"/>
          <w:sz w:val="32"/>
          <w:szCs w:val="32"/>
          <w:lang/>
        </w:rPr>
        <w:t>2.</w:t>
      </w:r>
      <w:r w:rsidRPr="00873B9D">
        <w:rPr>
          <w:rFonts w:ascii="仿宋" w:eastAsia="仿宋" w:hAnsi="仿宋" w:cs="宋体"/>
          <w:kern w:val="0"/>
          <w:sz w:val="32"/>
          <w:szCs w:val="32"/>
          <w:lang/>
        </w:rPr>
        <w:t>有明确的被告；</w:t>
      </w:r>
      <w:r w:rsidRPr="00873B9D">
        <w:rPr>
          <w:rFonts w:ascii="仿宋" w:eastAsia="仿宋" w:hAnsi="仿宋" w:cs="宋体"/>
          <w:kern w:val="0"/>
          <w:sz w:val="32"/>
          <w:szCs w:val="32"/>
          <w:lang/>
        </w:rPr>
        <w:t>3.</w:t>
      </w:r>
      <w:r w:rsidRPr="00873B9D">
        <w:rPr>
          <w:rFonts w:ascii="仿宋" w:eastAsia="仿宋" w:hAnsi="仿宋" w:cs="宋体"/>
          <w:kern w:val="0"/>
          <w:sz w:val="32"/>
          <w:szCs w:val="32"/>
          <w:lang/>
        </w:rPr>
        <w:t>有具体的诉讼请求和事实、理由，事实是指发生纠纷的简要过程，理由是指支持诉讼请求的事实和法律依据；</w:t>
      </w:r>
      <w:r w:rsidRPr="00873B9D">
        <w:rPr>
          <w:rFonts w:ascii="仿宋" w:eastAsia="仿宋" w:hAnsi="仿宋" w:cs="宋体"/>
          <w:kern w:val="0"/>
          <w:sz w:val="32"/>
          <w:szCs w:val="32"/>
          <w:lang/>
        </w:rPr>
        <w:t>4.</w:t>
      </w:r>
      <w:r w:rsidRPr="00873B9D">
        <w:rPr>
          <w:rFonts w:ascii="仿宋" w:eastAsia="仿宋" w:hAnsi="仿宋" w:cs="宋体"/>
          <w:kern w:val="0"/>
          <w:sz w:val="32"/>
          <w:szCs w:val="32"/>
          <w:lang/>
        </w:rPr>
        <w:t>案件属于人民法院行政诉讼的受案范围和受诉人民法院管辖。</w:t>
      </w:r>
    </w:p>
    <w:p w:rsidR="00033F7F" w:rsidRPr="00873B9D" w:rsidRDefault="00873B9D">
      <w:pPr>
        <w:pStyle w:val="a3"/>
        <w:widowControl/>
        <w:spacing w:beforeAutospacing="0" w:afterAutospacing="0"/>
        <w:rPr>
          <w:rFonts w:ascii="仿宋" w:eastAsia="仿宋" w:hAnsi="仿宋"/>
          <w:sz w:val="32"/>
          <w:szCs w:val="32"/>
        </w:rPr>
      </w:pPr>
      <w:r w:rsidRPr="00873B9D">
        <w:rPr>
          <w:rStyle w:val="a4"/>
          <w:rFonts w:ascii="仿宋" w:eastAsia="仿宋" w:hAnsi="仿宋"/>
          <w:spacing w:val="60"/>
          <w:sz w:val="32"/>
          <w:szCs w:val="32"/>
        </w:rPr>
        <w:t>第二步</w:t>
      </w:r>
    </w:p>
    <w:p w:rsidR="00033F7F" w:rsidRPr="00873B9D" w:rsidRDefault="00873B9D">
      <w:pPr>
        <w:pStyle w:val="a3"/>
        <w:widowControl/>
        <w:spacing w:beforeAutospacing="0" w:afterAutospacing="0"/>
        <w:jc w:val="both"/>
        <w:rPr>
          <w:rFonts w:ascii="仿宋" w:eastAsia="仿宋" w:hAnsi="仿宋" w:cs="system-ui"/>
          <w:color w:val="222222"/>
          <w:spacing w:val="8"/>
          <w:sz w:val="32"/>
          <w:szCs w:val="32"/>
        </w:rPr>
      </w:pPr>
      <w:r w:rsidRPr="00873B9D">
        <w:rPr>
          <w:rStyle w:val="a4"/>
          <w:rFonts w:ascii="仿宋" w:eastAsia="仿宋" w:hAnsi="仿宋" w:cs="system-ui"/>
          <w:color w:val="222222"/>
          <w:spacing w:val="8"/>
          <w:sz w:val="32"/>
          <w:szCs w:val="32"/>
        </w:rPr>
        <w:t>1.</w:t>
      </w:r>
      <w:r w:rsidRPr="00873B9D">
        <w:rPr>
          <w:rStyle w:val="a4"/>
          <w:rFonts w:ascii="仿宋" w:eastAsia="仿宋" w:hAnsi="仿宋" w:cs="system-ui"/>
          <w:color w:val="222222"/>
          <w:spacing w:val="8"/>
          <w:sz w:val="32"/>
          <w:szCs w:val="32"/>
        </w:rPr>
        <w:t>确定是否属于人民法院行政诉讼的受案范围</w:t>
      </w:r>
    </w:p>
    <w:p w:rsidR="00033F7F" w:rsidRPr="00873B9D" w:rsidRDefault="00873B9D">
      <w:pPr>
        <w:widowControl/>
        <w:jc w:val="left"/>
        <w:rPr>
          <w:rFonts w:ascii="仿宋" w:eastAsia="仿宋" w:hAnsi="仿宋"/>
          <w:sz w:val="32"/>
          <w:szCs w:val="32"/>
        </w:rPr>
      </w:pPr>
      <w:r w:rsidRPr="00873B9D">
        <w:rPr>
          <w:rFonts w:ascii="仿宋" w:eastAsia="仿宋" w:hAnsi="仿宋" w:cs="宋体"/>
          <w:kern w:val="0"/>
          <w:sz w:val="32"/>
          <w:szCs w:val="32"/>
          <w:lang/>
        </w:rPr>
        <w:t>人民法院行政诉讼的受案范围是指人民法院受理行政案件、解决行政争议的案件范围。《行政诉讼法》第十二条规定了人民法院受理公民、法人或者其他组织提起行政诉讼的受案范围。此外，根据行政诉讼法及司法解释相关规定，公民、法人或者其他组织对行政机关及其工作人员的行政行为不服，依法提起诉讼的，属于人民法院行政诉讼的受案范围，下列行为除外：（</w:t>
      </w:r>
      <w:r w:rsidRPr="00873B9D">
        <w:rPr>
          <w:rFonts w:ascii="仿宋" w:eastAsia="仿宋" w:hAnsi="仿宋" w:cs="宋体"/>
          <w:kern w:val="0"/>
          <w:sz w:val="32"/>
          <w:szCs w:val="32"/>
          <w:lang/>
        </w:rPr>
        <w:t>1</w:t>
      </w:r>
      <w:r w:rsidRPr="00873B9D">
        <w:rPr>
          <w:rFonts w:ascii="仿宋" w:eastAsia="仿宋" w:hAnsi="仿宋" w:cs="宋体"/>
          <w:kern w:val="0"/>
          <w:sz w:val="32"/>
          <w:szCs w:val="32"/>
          <w:lang/>
        </w:rPr>
        <w:t>）国防、外交等国家行为；（</w:t>
      </w:r>
      <w:r w:rsidRPr="00873B9D">
        <w:rPr>
          <w:rFonts w:ascii="仿宋" w:eastAsia="仿宋" w:hAnsi="仿宋" w:cs="宋体"/>
          <w:kern w:val="0"/>
          <w:sz w:val="32"/>
          <w:szCs w:val="32"/>
          <w:lang/>
        </w:rPr>
        <w:t>2</w:t>
      </w:r>
      <w:r w:rsidRPr="00873B9D">
        <w:rPr>
          <w:rFonts w:ascii="仿宋" w:eastAsia="仿宋" w:hAnsi="仿宋" w:cs="宋体"/>
          <w:kern w:val="0"/>
          <w:sz w:val="32"/>
          <w:szCs w:val="32"/>
          <w:lang/>
        </w:rPr>
        <w:t>）行政法规、规章或者行政机关制定、发布的具有普遍约束力的决定、命令；（</w:t>
      </w:r>
      <w:r w:rsidRPr="00873B9D">
        <w:rPr>
          <w:rFonts w:ascii="仿宋" w:eastAsia="仿宋" w:hAnsi="仿宋" w:cs="宋体"/>
          <w:kern w:val="0"/>
          <w:sz w:val="32"/>
          <w:szCs w:val="32"/>
          <w:lang/>
        </w:rPr>
        <w:t>3</w:t>
      </w:r>
      <w:r w:rsidRPr="00873B9D">
        <w:rPr>
          <w:rFonts w:ascii="仿宋" w:eastAsia="仿宋" w:hAnsi="仿宋" w:cs="宋体"/>
          <w:kern w:val="0"/>
          <w:sz w:val="32"/>
          <w:szCs w:val="32"/>
          <w:lang/>
        </w:rPr>
        <w:t>）行政机关对行政机关工作人员的奖惩、任免等决定；（</w:t>
      </w:r>
      <w:r w:rsidRPr="00873B9D">
        <w:rPr>
          <w:rFonts w:ascii="仿宋" w:eastAsia="仿宋" w:hAnsi="仿宋" w:cs="宋体"/>
          <w:kern w:val="0"/>
          <w:sz w:val="32"/>
          <w:szCs w:val="32"/>
          <w:lang/>
        </w:rPr>
        <w:t>4</w:t>
      </w:r>
      <w:r w:rsidRPr="00873B9D">
        <w:rPr>
          <w:rFonts w:ascii="仿宋" w:eastAsia="仿宋" w:hAnsi="仿宋" w:cs="宋体"/>
          <w:kern w:val="0"/>
          <w:sz w:val="32"/>
          <w:szCs w:val="32"/>
          <w:lang/>
        </w:rPr>
        <w:t>）法律规定由行政机关最终裁决的行</w:t>
      </w:r>
      <w:r w:rsidRPr="00873B9D">
        <w:rPr>
          <w:rFonts w:ascii="仿宋" w:eastAsia="仿宋" w:hAnsi="仿宋" w:cs="宋体"/>
          <w:kern w:val="0"/>
          <w:sz w:val="32"/>
          <w:szCs w:val="32"/>
          <w:lang/>
        </w:rPr>
        <w:t>政行为；（</w:t>
      </w:r>
      <w:r w:rsidRPr="00873B9D">
        <w:rPr>
          <w:rFonts w:ascii="仿宋" w:eastAsia="仿宋" w:hAnsi="仿宋" w:cs="宋体"/>
          <w:kern w:val="0"/>
          <w:sz w:val="32"/>
          <w:szCs w:val="32"/>
          <w:lang/>
        </w:rPr>
        <w:t>5</w:t>
      </w:r>
      <w:r w:rsidRPr="00873B9D">
        <w:rPr>
          <w:rFonts w:ascii="仿宋" w:eastAsia="仿宋" w:hAnsi="仿宋" w:cs="宋体"/>
          <w:kern w:val="0"/>
          <w:sz w:val="32"/>
          <w:szCs w:val="32"/>
          <w:lang/>
        </w:rPr>
        <w:t>）公安、国家安全等机关依照刑事诉讼法的明确授权实施的行</w:t>
      </w:r>
      <w:r w:rsidRPr="00873B9D">
        <w:rPr>
          <w:rFonts w:ascii="仿宋" w:eastAsia="仿宋" w:hAnsi="仿宋" w:cs="宋体"/>
          <w:kern w:val="0"/>
          <w:sz w:val="32"/>
          <w:szCs w:val="32"/>
          <w:lang/>
        </w:rPr>
        <w:lastRenderedPageBreak/>
        <w:t>为；（</w:t>
      </w:r>
      <w:r w:rsidRPr="00873B9D">
        <w:rPr>
          <w:rFonts w:ascii="仿宋" w:eastAsia="仿宋" w:hAnsi="仿宋" w:cs="宋体"/>
          <w:kern w:val="0"/>
          <w:sz w:val="32"/>
          <w:szCs w:val="32"/>
          <w:lang/>
        </w:rPr>
        <w:t>6</w:t>
      </w:r>
      <w:r w:rsidRPr="00873B9D">
        <w:rPr>
          <w:rFonts w:ascii="仿宋" w:eastAsia="仿宋" w:hAnsi="仿宋" w:cs="宋体"/>
          <w:kern w:val="0"/>
          <w:sz w:val="32"/>
          <w:szCs w:val="32"/>
          <w:lang/>
        </w:rPr>
        <w:t>）调解行为以及法律规定的仲裁行为；（</w:t>
      </w:r>
      <w:r w:rsidRPr="00873B9D">
        <w:rPr>
          <w:rFonts w:ascii="仿宋" w:eastAsia="仿宋" w:hAnsi="仿宋" w:cs="宋体"/>
          <w:kern w:val="0"/>
          <w:sz w:val="32"/>
          <w:szCs w:val="32"/>
          <w:lang/>
        </w:rPr>
        <w:t>7</w:t>
      </w:r>
      <w:r w:rsidRPr="00873B9D">
        <w:rPr>
          <w:rFonts w:ascii="仿宋" w:eastAsia="仿宋" w:hAnsi="仿宋" w:cs="宋体"/>
          <w:kern w:val="0"/>
          <w:sz w:val="32"/>
          <w:szCs w:val="32"/>
          <w:lang/>
        </w:rPr>
        <w:t>）行政指导行为；（</w:t>
      </w:r>
      <w:r w:rsidRPr="00873B9D">
        <w:rPr>
          <w:rFonts w:ascii="仿宋" w:eastAsia="仿宋" w:hAnsi="仿宋" w:cs="宋体"/>
          <w:kern w:val="0"/>
          <w:sz w:val="32"/>
          <w:szCs w:val="32"/>
          <w:lang/>
        </w:rPr>
        <w:t>8</w:t>
      </w:r>
      <w:r w:rsidRPr="00873B9D">
        <w:rPr>
          <w:rFonts w:ascii="仿宋" w:eastAsia="仿宋" w:hAnsi="仿宋" w:cs="宋体"/>
          <w:kern w:val="0"/>
          <w:sz w:val="32"/>
          <w:szCs w:val="32"/>
          <w:lang/>
        </w:rPr>
        <w:t>）驳回当事人对行政行为提起申诉的重复处理行（</w:t>
      </w:r>
      <w:r w:rsidRPr="00873B9D">
        <w:rPr>
          <w:rFonts w:ascii="仿宋" w:eastAsia="仿宋" w:hAnsi="仿宋" w:cs="宋体"/>
          <w:kern w:val="0"/>
          <w:sz w:val="32"/>
          <w:szCs w:val="32"/>
          <w:lang/>
        </w:rPr>
        <w:t>9</w:t>
      </w:r>
      <w:r w:rsidRPr="00873B9D">
        <w:rPr>
          <w:rFonts w:ascii="仿宋" w:eastAsia="仿宋" w:hAnsi="仿宋" w:cs="宋体"/>
          <w:kern w:val="0"/>
          <w:sz w:val="32"/>
          <w:szCs w:val="32"/>
          <w:lang/>
        </w:rPr>
        <w:t>）行政机关作出的不产生外部法律效力的行为；（</w:t>
      </w:r>
      <w:r w:rsidRPr="00873B9D">
        <w:rPr>
          <w:rFonts w:ascii="仿宋" w:eastAsia="仿宋" w:hAnsi="仿宋" w:cs="宋体"/>
          <w:kern w:val="0"/>
          <w:sz w:val="32"/>
          <w:szCs w:val="32"/>
          <w:lang/>
        </w:rPr>
        <w:t>10</w:t>
      </w:r>
      <w:r w:rsidRPr="00873B9D">
        <w:rPr>
          <w:rFonts w:ascii="仿宋" w:eastAsia="仿宋" w:hAnsi="仿宋" w:cs="宋体"/>
          <w:kern w:val="0"/>
          <w:sz w:val="32"/>
          <w:szCs w:val="32"/>
          <w:lang/>
        </w:rPr>
        <w:t>）行政机关为作出行政行为而实施的准备、论证、研究、层报、咨询等过程性行为；（</w:t>
      </w:r>
      <w:r w:rsidRPr="00873B9D">
        <w:rPr>
          <w:rFonts w:ascii="仿宋" w:eastAsia="仿宋" w:hAnsi="仿宋" w:cs="宋体"/>
          <w:kern w:val="0"/>
          <w:sz w:val="32"/>
          <w:szCs w:val="32"/>
          <w:lang/>
        </w:rPr>
        <w:t>11</w:t>
      </w:r>
      <w:r w:rsidRPr="00873B9D">
        <w:rPr>
          <w:rFonts w:ascii="仿宋" w:eastAsia="仿宋" w:hAnsi="仿宋" w:cs="宋体"/>
          <w:kern w:val="0"/>
          <w:sz w:val="32"/>
          <w:szCs w:val="32"/>
          <w:lang/>
        </w:rPr>
        <w:t>）行政机关根据人民法院的生效裁判、协助执行通知书作出的执行行为，但行政机关扩大执行范围或者采取违法方式实施的除外；（</w:t>
      </w:r>
      <w:r w:rsidRPr="00873B9D">
        <w:rPr>
          <w:rFonts w:ascii="仿宋" w:eastAsia="仿宋" w:hAnsi="仿宋" w:cs="宋体"/>
          <w:kern w:val="0"/>
          <w:sz w:val="32"/>
          <w:szCs w:val="32"/>
          <w:lang/>
        </w:rPr>
        <w:t>12</w:t>
      </w:r>
      <w:r w:rsidRPr="00873B9D">
        <w:rPr>
          <w:rFonts w:ascii="仿宋" w:eastAsia="仿宋" w:hAnsi="仿宋" w:cs="宋体"/>
          <w:kern w:val="0"/>
          <w:sz w:val="32"/>
          <w:szCs w:val="32"/>
          <w:lang/>
        </w:rPr>
        <w:t>）上级行政机关基于内部层级监督关系对下级行政机关作出的听取报告、执法检查、督促履责等行</w:t>
      </w:r>
      <w:r w:rsidRPr="00873B9D">
        <w:rPr>
          <w:rFonts w:ascii="仿宋" w:eastAsia="仿宋" w:hAnsi="仿宋" w:cs="宋体"/>
          <w:kern w:val="0"/>
          <w:sz w:val="32"/>
          <w:szCs w:val="32"/>
          <w:lang/>
        </w:rPr>
        <w:t>为；（</w:t>
      </w:r>
      <w:r w:rsidRPr="00873B9D">
        <w:rPr>
          <w:rFonts w:ascii="仿宋" w:eastAsia="仿宋" w:hAnsi="仿宋" w:cs="宋体"/>
          <w:kern w:val="0"/>
          <w:sz w:val="32"/>
          <w:szCs w:val="32"/>
          <w:lang/>
        </w:rPr>
        <w:t>13</w:t>
      </w:r>
      <w:r w:rsidRPr="00873B9D">
        <w:rPr>
          <w:rFonts w:ascii="仿宋" w:eastAsia="仿宋" w:hAnsi="仿宋" w:cs="宋体"/>
          <w:kern w:val="0"/>
          <w:sz w:val="32"/>
          <w:szCs w:val="32"/>
          <w:lang/>
        </w:rPr>
        <w:t>）行政机关针对信访事项作出的登记、受理、交办、转送、复查、复核意见等行为；（</w:t>
      </w:r>
      <w:r w:rsidRPr="00873B9D">
        <w:rPr>
          <w:rFonts w:ascii="仿宋" w:eastAsia="仿宋" w:hAnsi="仿宋" w:cs="宋体"/>
          <w:kern w:val="0"/>
          <w:sz w:val="32"/>
          <w:szCs w:val="32"/>
          <w:lang/>
        </w:rPr>
        <w:t>14</w:t>
      </w:r>
      <w:r w:rsidRPr="00873B9D">
        <w:rPr>
          <w:rFonts w:ascii="仿宋" w:eastAsia="仿宋" w:hAnsi="仿宋" w:cs="宋体"/>
          <w:kern w:val="0"/>
          <w:sz w:val="32"/>
          <w:szCs w:val="32"/>
          <w:lang/>
        </w:rPr>
        <w:t>）对公民、法人或者其他组织权利义务不产生实际影响的行为。</w:t>
      </w:r>
    </w:p>
    <w:p w:rsidR="00033F7F" w:rsidRPr="00873B9D" w:rsidRDefault="00873B9D">
      <w:pPr>
        <w:pStyle w:val="a3"/>
        <w:widowControl/>
        <w:spacing w:beforeAutospacing="0" w:afterAutospacing="0"/>
        <w:jc w:val="both"/>
        <w:rPr>
          <w:rFonts w:ascii="仿宋" w:eastAsia="仿宋" w:hAnsi="仿宋" w:cs="system-ui" w:hint="eastAsia"/>
          <w:color w:val="222222"/>
          <w:spacing w:val="8"/>
          <w:sz w:val="32"/>
          <w:szCs w:val="32"/>
        </w:rPr>
      </w:pPr>
      <w:r w:rsidRPr="00873B9D">
        <w:rPr>
          <w:rStyle w:val="a4"/>
          <w:rFonts w:ascii="仿宋" w:eastAsia="仿宋" w:hAnsi="仿宋" w:cs="system-ui"/>
          <w:color w:val="222222"/>
          <w:spacing w:val="8"/>
          <w:sz w:val="32"/>
          <w:szCs w:val="32"/>
        </w:rPr>
        <w:t>2.</w:t>
      </w:r>
      <w:r w:rsidRPr="00873B9D">
        <w:rPr>
          <w:rStyle w:val="a4"/>
          <w:rFonts w:ascii="仿宋" w:eastAsia="仿宋" w:hAnsi="仿宋" w:cs="system-ui"/>
          <w:color w:val="222222"/>
          <w:spacing w:val="8"/>
          <w:sz w:val="32"/>
          <w:szCs w:val="32"/>
        </w:rPr>
        <w:t>确定是否属于受诉人民法院级别管辖</w:t>
      </w:r>
    </w:p>
    <w:p w:rsidR="00033F7F" w:rsidRPr="00873B9D" w:rsidRDefault="00873B9D" w:rsidP="00873B9D">
      <w:pPr>
        <w:widowControl/>
        <w:jc w:val="left"/>
        <w:rPr>
          <w:rFonts w:ascii="仿宋" w:eastAsia="仿宋" w:hAnsi="仿宋" w:hint="eastAsia"/>
          <w:sz w:val="32"/>
          <w:szCs w:val="32"/>
        </w:rPr>
      </w:pPr>
      <w:r w:rsidRPr="00873B9D">
        <w:rPr>
          <w:rFonts w:ascii="仿宋" w:eastAsia="仿宋" w:hAnsi="仿宋" w:cs="宋体"/>
          <w:kern w:val="0"/>
          <w:sz w:val="32"/>
          <w:szCs w:val="32"/>
          <w:lang/>
        </w:rPr>
        <w:t>基层人民法院管辖第一审行政案件。中级人民法院管辖下列第一审行政案件：（</w:t>
      </w:r>
      <w:r w:rsidRPr="00873B9D">
        <w:rPr>
          <w:rFonts w:ascii="仿宋" w:eastAsia="仿宋" w:hAnsi="仿宋" w:cs="宋体"/>
          <w:kern w:val="0"/>
          <w:sz w:val="32"/>
          <w:szCs w:val="32"/>
          <w:lang/>
        </w:rPr>
        <w:t>1</w:t>
      </w:r>
      <w:r w:rsidRPr="00873B9D">
        <w:rPr>
          <w:rFonts w:ascii="仿宋" w:eastAsia="仿宋" w:hAnsi="仿宋" w:cs="宋体"/>
          <w:kern w:val="0"/>
          <w:sz w:val="32"/>
          <w:szCs w:val="32"/>
          <w:lang/>
        </w:rPr>
        <w:t>）对国务院部门或者县级以上地方人民政府所作的行政行为提起诉讼的案件；（</w:t>
      </w:r>
      <w:r w:rsidRPr="00873B9D">
        <w:rPr>
          <w:rFonts w:ascii="仿宋" w:eastAsia="仿宋" w:hAnsi="仿宋" w:cs="宋体"/>
          <w:kern w:val="0"/>
          <w:sz w:val="32"/>
          <w:szCs w:val="32"/>
          <w:lang/>
        </w:rPr>
        <w:t>2</w:t>
      </w:r>
      <w:r w:rsidRPr="00873B9D">
        <w:rPr>
          <w:rFonts w:ascii="仿宋" w:eastAsia="仿宋" w:hAnsi="仿宋" w:cs="宋体"/>
          <w:kern w:val="0"/>
          <w:sz w:val="32"/>
          <w:szCs w:val="32"/>
          <w:lang/>
        </w:rPr>
        <w:t>）海关处理的案件；（</w:t>
      </w:r>
      <w:r w:rsidRPr="00873B9D">
        <w:rPr>
          <w:rFonts w:ascii="仿宋" w:eastAsia="仿宋" w:hAnsi="仿宋" w:cs="宋体"/>
          <w:kern w:val="0"/>
          <w:sz w:val="32"/>
          <w:szCs w:val="32"/>
          <w:lang/>
        </w:rPr>
        <w:t>3</w:t>
      </w:r>
      <w:r w:rsidRPr="00873B9D">
        <w:rPr>
          <w:rFonts w:ascii="仿宋" w:eastAsia="仿宋" w:hAnsi="仿宋" w:cs="宋体"/>
          <w:kern w:val="0"/>
          <w:sz w:val="32"/>
          <w:szCs w:val="32"/>
          <w:lang/>
        </w:rPr>
        <w:t>）本辖区内重大、复杂的案件；（</w:t>
      </w:r>
      <w:r w:rsidRPr="00873B9D">
        <w:rPr>
          <w:rFonts w:ascii="仿宋" w:eastAsia="仿宋" w:hAnsi="仿宋" w:cs="宋体"/>
          <w:kern w:val="0"/>
          <w:sz w:val="32"/>
          <w:szCs w:val="32"/>
          <w:lang/>
        </w:rPr>
        <w:t>4</w:t>
      </w:r>
      <w:r w:rsidRPr="00873B9D">
        <w:rPr>
          <w:rFonts w:ascii="仿宋" w:eastAsia="仿宋" w:hAnsi="仿宋" w:cs="宋体"/>
          <w:kern w:val="0"/>
          <w:sz w:val="32"/>
          <w:szCs w:val="32"/>
          <w:lang/>
        </w:rPr>
        <w:t>）其他法律规定由中级人民法院管辖的案件。高级人民法院管辖本辖区内重大、复杂的第一审行</w:t>
      </w:r>
      <w:r w:rsidRPr="00873B9D">
        <w:rPr>
          <w:rFonts w:ascii="宋体" w:eastAsia="仿宋" w:hAnsi="宋体" w:cs="宋体"/>
          <w:kern w:val="0"/>
          <w:sz w:val="32"/>
          <w:szCs w:val="32"/>
          <w:lang/>
        </w:rPr>
        <w:t>  </w:t>
      </w:r>
      <w:r w:rsidRPr="00873B9D">
        <w:rPr>
          <w:rFonts w:ascii="仿宋" w:eastAsia="仿宋" w:hAnsi="仿宋" w:cs="宋体"/>
          <w:kern w:val="0"/>
          <w:sz w:val="32"/>
          <w:szCs w:val="32"/>
          <w:lang/>
        </w:rPr>
        <w:t>政案件。最高人民法院管辖全国范围内重大</w:t>
      </w:r>
      <w:r w:rsidRPr="00873B9D">
        <w:rPr>
          <w:rFonts w:ascii="仿宋" w:eastAsia="仿宋" w:hAnsi="仿宋" w:cs="宋体"/>
          <w:kern w:val="0"/>
          <w:sz w:val="32"/>
          <w:szCs w:val="32"/>
          <w:lang/>
        </w:rPr>
        <w:t>、复杂的第一审行政案件。</w:t>
      </w:r>
    </w:p>
    <w:p w:rsidR="00033F7F" w:rsidRPr="00873B9D" w:rsidRDefault="00873B9D">
      <w:pPr>
        <w:pStyle w:val="a3"/>
        <w:widowControl/>
        <w:spacing w:beforeAutospacing="0" w:afterAutospacing="0"/>
        <w:jc w:val="both"/>
        <w:rPr>
          <w:rFonts w:ascii="仿宋" w:eastAsia="仿宋" w:hAnsi="仿宋" w:cs="system-ui" w:hint="eastAsia"/>
          <w:color w:val="222222"/>
          <w:spacing w:val="8"/>
          <w:sz w:val="32"/>
          <w:szCs w:val="32"/>
        </w:rPr>
      </w:pPr>
      <w:r w:rsidRPr="00873B9D">
        <w:rPr>
          <w:rStyle w:val="a4"/>
          <w:rFonts w:ascii="仿宋" w:eastAsia="仿宋" w:hAnsi="仿宋" w:cs="system-ui"/>
          <w:color w:val="222222"/>
          <w:spacing w:val="8"/>
          <w:sz w:val="32"/>
          <w:szCs w:val="32"/>
        </w:rPr>
        <w:t>3.</w:t>
      </w:r>
      <w:r w:rsidRPr="00873B9D">
        <w:rPr>
          <w:rStyle w:val="a4"/>
          <w:rFonts w:ascii="仿宋" w:eastAsia="仿宋" w:hAnsi="仿宋" w:cs="system-ui"/>
          <w:color w:val="222222"/>
          <w:spacing w:val="8"/>
          <w:sz w:val="32"/>
          <w:szCs w:val="32"/>
        </w:rPr>
        <w:t>确定是否属于受诉人民法院地域管辖</w:t>
      </w:r>
    </w:p>
    <w:p w:rsidR="00033F7F" w:rsidRPr="00873B9D" w:rsidRDefault="00873B9D">
      <w:pPr>
        <w:widowControl/>
        <w:jc w:val="left"/>
        <w:rPr>
          <w:rFonts w:ascii="仿宋" w:eastAsia="仿宋" w:hAnsi="仿宋"/>
          <w:sz w:val="32"/>
          <w:szCs w:val="32"/>
        </w:rPr>
      </w:pPr>
      <w:r w:rsidRPr="00873B9D">
        <w:rPr>
          <w:rFonts w:ascii="仿宋" w:eastAsia="仿宋" w:hAnsi="仿宋" w:cs="宋体"/>
          <w:kern w:val="0"/>
          <w:sz w:val="32"/>
          <w:szCs w:val="32"/>
          <w:lang/>
        </w:rPr>
        <w:t>按照行政诉讼法及其司法解释关于地域管辖的相关规定，确定是否属于受诉人民法院地域管辖范围。（</w:t>
      </w:r>
      <w:r w:rsidRPr="00873B9D">
        <w:rPr>
          <w:rFonts w:ascii="仿宋" w:eastAsia="仿宋" w:hAnsi="仿宋" w:cs="宋体"/>
          <w:kern w:val="0"/>
          <w:sz w:val="32"/>
          <w:szCs w:val="32"/>
          <w:lang/>
        </w:rPr>
        <w:t>1</w:t>
      </w:r>
      <w:r w:rsidRPr="00873B9D">
        <w:rPr>
          <w:rFonts w:ascii="仿宋" w:eastAsia="仿宋" w:hAnsi="仿宋" w:cs="宋体"/>
          <w:kern w:val="0"/>
          <w:sz w:val="32"/>
          <w:szCs w:val="32"/>
          <w:lang/>
        </w:rPr>
        <w:t>）行政案件由</w:t>
      </w:r>
      <w:r w:rsidRPr="00873B9D">
        <w:rPr>
          <w:rFonts w:ascii="仿宋" w:eastAsia="仿宋" w:hAnsi="仿宋" w:cs="宋体"/>
          <w:kern w:val="0"/>
          <w:sz w:val="32"/>
          <w:szCs w:val="32"/>
          <w:lang/>
        </w:rPr>
        <w:lastRenderedPageBreak/>
        <w:t>最初作出行政行为的行政机关所在地人民法院管辖。经复议的案件，也可以由复议机关所在地人民法院管辖；（</w:t>
      </w:r>
      <w:r w:rsidRPr="00873B9D">
        <w:rPr>
          <w:rFonts w:ascii="仿宋" w:eastAsia="仿宋" w:hAnsi="仿宋" w:cs="宋体"/>
          <w:kern w:val="0"/>
          <w:sz w:val="32"/>
          <w:szCs w:val="32"/>
          <w:lang/>
        </w:rPr>
        <w:t>2</w:t>
      </w:r>
      <w:r w:rsidRPr="00873B9D">
        <w:rPr>
          <w:rFonts w:ascii="仿宋" w:eastAsia="仿宋" w:hAnsi="仿宋" w:cs="宋体"/>
          <w:kern w:val="0"/>
          <w:sz w:val="32"/>
          <w:szCs w:val="32"/>
          <w:lang/>
        </w:rPr>
        <w:t>）作出原行政行为的行政机关和复议机关为共同被告的，以作出原行政行为的行政机关确定案件的级别管辖；（</w:t>
      </w:r>
      <w:r w:rsidRPr="00873B9D">
        <w:rPr>
          <w:rFonts w:ascii="仿宋" w:eastAsia="仿宋" w:hAnsi="仿宋" w:cs="宋体"/>
          <w:kern w:val="0"/>
          <w:sz w:val="32"/>
          <w:szCs w:val="32"/>
          <w:lang/>
        </w:rPr>
        <w:t>3</w:t>
      </w:r>
      <w:r w:rsidRPr="00873B9D">
        <w:rPr>
          <w:rFonts w:ascii="仿宋" w:eastAsia="仿宋" w:hAnsi="仿宋" w:cs="宋体"/>
          <w:kern w:val="0"/>
          <w:sz w:val="32"/>
          <w:szCs w:val="32"/>
          <w:lang/>
        </w:rPr>
        <w:t>）对限制人身自由的行政强制措施不服提起的诉讼，由被告所在地或者原告所在地人民法院管辖；（</w:t>
      </w:r>
      <w:r w:rsidRPr="00873B9D">
        <w:rPr>
          <w:rFonts w:ascii="仿宋" w:eastAsia="仿宋" w:hAnsi="仿宋" w:cs="宋体"/>
          <w:kern w:val="0"/>
          <w:sz w:val="32"/>
          <w:szCs w:val="32"/>
          <w:lang/>
        </w:rPr>
        <w:t>4</w:t>
      </w:r>
      <w:r w:rsidRPr="00873B9D">
        <w:rPr>
          <w:rFonts w:ascii="仿宋" w:eastAsia="仿宋" w:hAnsi="仿宋" w:cs="宋体"/>
          <w:kern w:val="0"/>
          <w:sz w:val="32"/>
          <w:szCs w:val="32"/>
          <w:lang/>
        </w:rPr>
        <w:t>）因不动产提起的行政诉讼，由不动产所在地人民法院管</w:t>
      </w:r>
      <w:r w:rsidRPr="00873B9D">
        <w:rPr>
          <w:rFonts w:ascii="仿宋" w:eastAsia="仿宋" w:hAnsi="仿宋" w:cs="宋体"/>
          <w:kern w:val="0"/>
          <w:sz w:val="32"/>
          <w:szCs w:val="32"/>
          <w:lang/>
        </w:rPr>
        <w:t>辖。</w:t>
      </w:r>
    </w:p>
    <w:p w:rsidR="00033F7F" w:rsidRPr="00873B9D" w:rsidRDefault="00873B9D">
      <w:pPr>
        <w:pStyle w:val="a3"/>
        <w:widowControl/>
        <w:spacing w:beforeAutospacing="0" w:afterAutospacing="0"/>
        <w:jc w:val="both"/>
        <w:rPr>
          <w:rFonts w:ascii="仿宋" w:eastAsia="仿宋" w:hAnsi="仿宋" w:cs="system-ui" w:hint="eastAsia"/>
          <w:color w:val="222222"/>
          <w:spacing w:val="8"/>
          <w:sz w:val="32"/>
          <w:szCs w:val="32"/>
        </w:rPr>
      </w:pPr>
      <w:r w:rsidRPr="00873B9D">
        <w:rPr>
          <w:rStyle w:val="a4"/>
          <w:rFonts w:ascii="仿宋" w:eastAsia="仿宋" w:hAnsi="仿宋" w:cs="system-ui"/>
          <w:color w:val="222222"/>
          <w:spacing w:val="8"/>
          <w:sz w:val="32"/>
          <w:szCs w:val="32"/>
        </w:rPr>
        <w:t>4.</w:t>
      </w:r>
      <w:r w:rsidRPr="00873B9D">
        <w:rPr>
          <w:rStyle w:val="a4"/>
          <w:rFonts w:ascii="仿宋" w:eastAsia="仿宋" w:hAnsi="仿宋" w:cs="system-ui"/>
          <w:color w:val="222222"/>
          <w:spacing w:val="8"/>
          <w:sz w:val="32"/>
          <w:szCs w:val="32"/>
        </w:rPr>
        <w:t>确定是否存在跨行政区域集中管辖的情形</w:t>
      </w:r>
    </w:p>
    <w:p w:rsidR="00033F7F" w:rsidRPr="00873B9D" w:rsidRDefault="00873B9D" w:rsidP="00873B9D">
      <w:pPr>
        <w:widowControl/>
        <w:jc w:val="left"/>
        <w:rPr>
          <w:rFonts w:ascii="仿宋" w:eastAsia="仿宋" w:hAnsi="仿宋" w:hint="eastAsia"/>
          <w:sz w:val="32"/>
          <w:szCs w:val="32"/>
        </w:rPr>
      </w:pPr>
      <w:r w:rsidRPr="00873B9D">
        <w:rPr>
          <w:rFonts w:ascii="仿宋" w:eastAsia="仿宋" w:hAnsi="仿宋" w:cs="宋体"/>
          <w:kern w:val="0"/>
          <w:sz w:val="32"/>
          <w:szCs w:val="32"/>
          <w:lang/>
        </w:rPr>
        <w:t>根据《中华人民共和国行政诉讼法》第十八条第二款的规定，经最高人民法院批准，黑龙江省高级人民法院确定全省铁路运输两级法院开展跨行政区域集中管辖行政案件改革，对哈尔滨市、齐齐哈尔市、牡丹江市、佳木斯市中级人民法院辖区基层人民法院管辖的行政诉讼案件（知识产权类行政案件除外）的管辖法院予以调整。</w:t>
      </w:r>
    </w:p>
    <w:p w:rsidR="00033F7F" w:rsidRPr="00873B9D" w:rsidRDefault="00873B9D">
      <w:pPr>
        <w:pStyle w:val="a3"/>
        <w:widowControl/>
        <w:spacing w:beforeAutospacing="0" w:afterAutospacing="0"/>
        <w:jc w:val="both"/>
        <w:rPr>
          <w:rFonts w:ascii="仿宋" w:eastAsia="仿宋" w:hAnsi="仿宋" w:cs="system-ui"/>
          <w:color w:val="222222"/>
          <w:spacing w:val="8"/>
          <w:sz w:val="32"/>
          <w:szCs w:val="32"/>
        </w:rPr>
      </w:pPr>
      <w:r w:rsidRPr="00873B9D">
        <w:rPr>
          <w:rStyle w:val="a4"/>
          <w:rFonts w:ascii="仿宋" w:eastAsia="仿宋" w:hAnsi="仿宋" w:cs="system-ui"/>
          <w:color w:val="222222"/>
          <w:spacing w:val="8"/>
          <w:sz w:val="32"/>
          <w:szCs w:val="32"/>
        </w:rPr>
        <w:t>1.</w:t>
      </w:r>
      <w:r w:rsidRPr="00873B9D">
        <w:rPr>
          <w:rStyle w:val="a4"/>
          <w:rFonts w:ascii="仿宋" w:eastAsia="仿宋" w:hAnsi="仿宋" w:cs="system-ui"/>
          <w:color w:val="222222"/>
          <w:spacing w:val="8"/>
          <w:sz w:val="32"/>
          <w:szCs w:val="32"/>
        </w:rPr>
        <w:t>当事人提起行政一审诉讼的，应提交以下材料：</w:t>
      </w:r>
    </w:p>
    <w:p w:rsidR="00033F7F" w:rsidRPr="00873B9D" w:rsidRDefault="00033F7F">
      <w:pPr>
        <w:pStyle w:val="a3"/>
        <w:widowControl/>
        <w:spacing w:beforeAutospacing="0" w:afterAutospacing="0"/>
        <w:jc w:val="both"/>
        <w:rPr>
          <w:rFonts w:ascii="仿宋" w:eastAsia="仿宋" w:hAnsi="仿宋" w:cs="system-ui"/>
          <w:color w:val="222222"/>
          <w:spacing w:val="8"/>
          <w:sz w:val="32"/>
          <w:szCs w:val="32"/>
        </w:rPr>
      </w:pPr>
    </w:p>
    <w:p w:rsidR="00033F7F" w:rsidRPr="00873B9D" w:rsidRDefault="00873B9D">
      <w:pPr>
        <w:widowControl/>
        <w:jc w:val="left"/>
        <w:rPr>
          <w:rFonts w:ascii="仿宋" w:eastAsia="仿宋" w:hAnsi="仿宋"/>
          <w:sz w:val="32"/>
          <w:szCs w:val="32"/>
        </w:rPr>
      </w:pPr>
      <w:r w:rsidRPr="00873B9D">
        <w:rPr>
          <w:rFonts w:ascii="仿宋" w:eastAsia="仿宋" w:hAnsi="仿宋" w:cs="宋体"/>
          <w:kern w:val="0"/>
          <w:sz w:val="32"/>
          <w:szCs w:val="32"/>
          <w:lang/>
        </w:rPr>
        <w:t>（</w:t>
      </w:r>
      <w:r w:rsidRPr="00873B9D">
        <w:rPr>
          <w:rFonts w:ascii="仿宋" w:eastAsia="仿宋" w:hAnsi="仿宋" w:cs="宋体"/>
          <w:kern w:val="0"/>
          <w:sz w:val="32"/>
          <w:szCs w:val="32"/>
          <w:lang/>
        </w:rPr>
        <w:t>1</w:t>
      </w:r>
      <w:r w:rsidRPr="00873B9D">
        <w:rPr>
          <w:rFonts w:ascii="仿宋" w:eastAsia="仿宋" w:hAnsi="仿宋" w:cs="宋体"/>
          <w:kern w:val="0"/>
          <w:sz w:val="32"/>
          <w:szCs w:val="32"/>
          <w:lang/>
        </w:rPr>
        <w:t>）起诉状正本和与被告及其他当事人人数相符的副本；</w:t>
      </w:r>
      <w:r w:rsidRPr="00873B9D">
        <w:rPr>
          <w:rFonts w:ascii="仿宋" w:eastAsia="仿宋" w:hAnsi="仿宋" w:cs="宋体"/>
          <w:kern w:val="0"/>
          <w:sz w:val="32"/>
          <w:szCs w:val="32"/>
          <w:lang/>
        </w:rPr>
        <w:br/>
      </w:r>
      <w:r w:rsidRPr="00873B9D">
        <w:rPr>
          <w:rFonts w:ascii="仿宋" w:eastAsia="仿宋" w:hAnsi="仿宋" w:cs="宋体"/>
          <w:kern w:val="0"/>
          <w:sz w:val="32"/>
          <w:szCs w:val="32"/>
          <w:lang/>
        </w:rPr>
        <w:t>（</w:t>
      </w:r>
      <w:r w:rsidRPr="00873B9D">
        <w:rPr>
          <w:rFonts w:ascii="仿宋" w:eastAsia="仿宋" w:hAnsi="仿宋" w:cs="宋体"/>
          <w:kern w:val="0"/>
          <w:sz w:val="32"/>
          <w:szCs w:val="32"/>
          <w:lang/>
        </w:rPr>
        <w:t>2</w:t>
      </w:r>
      <w:r w:rsidRPr="00873B9D">
        <w:rPr>
          <w:rFonts w:ascii="仿宋" w:eastAsia="仿宋" w:hAnsi="仿宋" w:cs="宋体"/>
          <w:kern w:val="0"/>
          <w:sz w:val="32"/>
          <w:szCs w:val="32"/>
          <w:lang/>
        </w:rPr>
        <w:t>）证明原告主体资格的材料，原告应为行政行为的相对人以及其他与行政行为有利害关系的公民、法人或者其他组织；（</w:t>
      </w:r>
      <w:r w:rsidRPr="00873B9D">
        <w:rPr>
          <w:rFonts w:ascii="仿宋" w:eastAsia="仿宋" w:hAnsi="仿宋" w:cs="宋体"/>
          <w:kern w:val="0"/>
          <w:sz w:val="32"/>
          <w:szCs w:val="32"/>
          <w:lang/>
        </w:rPr>
        <w:t>3</w:t>
      </w:r>
      <w:r w:rsidRPr="00873B9D">
        <w:rPr>
          <w:rFonts w:ascii="仿宋" w:eastAsia="仿宋" w:hAnsi="仿宋" w:cs="宋体"/>
          <w:kern w:val="0"/>
          <w:sz w:val="32"/>
          <w:szCs w:val="32"/>
          <w:lang/>
        </w:rPr>
        <w:t>）具体明确的足以使被告与他人相区别的名称、住所等信息；（</w:t>
      </w:r>
      <w:r w:rsidRPr="00873B9D">
        <w:rPr>
          <w:rFonts w:ascii="仿宋" w:eastAsia="仿宋" w:hAnsi="仿宋" w:cs="宋体"/>
          <w:kern w:val="0"/>
          <w:sz w:val="32"/>
          <w:szCs w:val="32"/>
          <w:lang/>
        </w:rPr>
        <w:t>4</w:t>
      </w:r>
      <w:r w:rsidRPr="00873B9D">
        <w:rPr>
          <w:rFonts w:ascii="仿宋" w:eastAsia="仿宋" w:hAnsi="仿宋" w:cs="宋体"/>
          <w:kern w:val="0"/>
          <w:sz w:val="32"/>
          <w:szCs w:val="32"/>
          <w:lang/>
        </w:rPr>
        <w:t>）与诉讼请求相关的证据或者证明材料；（</w:t>
      </w:r>
      <w:r w:rsidRPr="00873B9D">
        <w:rPr>
          <w:rFonts w:ascii="仿宋" w:eastAsia="仿宋" w:hAnsi="仿宋" w:cs="宋体"/>
          <w:kern w:val="0"/>
          <w:sz w:val="32"/>
          <w:szCs w:val="32"/>
          <w:lang/>
        </w:rPr>
        <w:t>5</w:t>
      </w:r>
      <w:r w:rsidRPr="00873B9D">
        <w:rPr>
          <w:rFonts w:ascii="仿宋" w:eastAsia="仿宋" w:hAnsi="仿宋" w:cs="宋体"/>
          <w:kern w:val="0"/>
          <w:sz w:val="32"/>
          <w:szCs w:val="32"/>
          <w:lang/>
        </w:rPr>
        <w:t>）</w:t>
      </w:r>
      <w:r w:rsidRPr="00873B9D">
        <w:rPr>
          <w:rFonts w:ascii="仿宋" w:eastAsia="仿宋" w:hAnsi="仿宋" w:cs="宋体"/>
          <w:kern w:val="0"/>
          <w:sz w:val="32"/>
          <w:szCs w:val="32"/>
          <w:lang/>
        </w:rPr>
        <w:lastRenderedPageBreak/>
        <w:t>委托起诉的，还应提交授权委托书、诉讼代理人身份证明等相关材料。</w:t>
      </w:r>
    </w:p>
    <w:p w:rsidR="00033F7F" w:rsidRPr="00873B9D" w:rsidRDefault="00873B9D">
      <w:pPr>
        <w:pStyle w:val="a3"/>
        <w:widowControl/>
        <w:spacing w:beforeAutospacing="0" w:afterAutospacing="0"/>
        <w:jc w:val="both"/>
        <w:rPr>
          <w:rFonts w:ascii="仿宋" w:eastAsia="仿宋" w:hAnsi="仿宋" w:cs="system-ui" w:hint="eastAsia"/>
          <w:color w:val="222222"/>
          <w:spacing w:val="8"/>
          <w:sz w:val="32"/>
          <w:szCs w:val="32"/>
        </w:rPr>
      </w:pPr>
      <w:r w:rsidRPr="00873B9D">
        <w:rPr>
          <w:rStyle w:val="a4"/>
          <w:rFonts w:ascii="仿宋" w:eastAsia="仿宋" w:hAnsi="仿宋" w:cs="system-ui"/>
          <w:color w:val="222222"/>
          <w:spacing w:val="8"/>
          <w:sz w:val="32"/>
          <w:szCs w:val="32"/>
        </w:rPr>
        <w:t>2.</w:t>
      </w:r>
      <w:r w:rsidRPr="00873B9D">
        <w:rPr>
          <w:rStyle w:val="a4"/>
          <w:rFonts w:ascii="仿宋" w:eastAsia="仿宋" w:hAnsi="仿宋" w:cs="system-ui"/>
          <w:color w:val="222222"/>
          <w:spacing w:val="8"/>
          <w:sz w:val="32"/>
          <w:szCs w:val="32"/>
        </w:rPr>
        <w:t>起诉状要点提示</w:t>
      </w:r>
    </w:p>
    <w:p w:rsidR="00033F7F" w:rsidRPr="00873B9D" w:rsidRDefault="00873B9D">
      <w:pPr>
        <w:widowControl/>
        <w:jc w:val="left"/>
        <w:rPr>
          <w:rFonts w:ascii="仿宋" w:eastAsia="仿宋" w:hAnsi="仿宋"/>
          <w:sz w:val="32"/>
          <w:szCs w:val="32"/>
        </w:rPr>
      </w:pPr>
      <w:r w:rsidRPr="00873B9D">
        <w:rPr>
          <w:rFonts w:ascii="仿宋" w:eastAsia="仿宋" w:hAnsi="仿宋" w:cs="宋体"/>
          <w:kern w:val="0"/>
          <w:sz w:val="32"/>
          <w:szCs w:val="32"/>
          <w:lang/>
        </w:rPr>
        <w:t>（</w:t>
      </w:r>
      <w:r w:rsidRPr="00873B9D">
        <w:rPr>
          <w:rFonts w:ascii="仿宋" w:eastAsia="仿宋" w:hAnsi="仿宋" w:cs="宋体"/>
          <w:kern w:val="0"/>
          <w:sz w:val="32"/>
          <w:szCs w:val="32"/>
          <w:lang/>
        </w:rPr>
        <w:t>1</w:t>
      </w:r>
      <w:r w:rsidRPr="00873B9D">
        <w:rPr>
          <w:rFonts w:ascii="仿宋" w:eastAsia="仿宋" w:hAnsi="仿宋" w:cs="宋体"/>
          <w:kern w:val="0"/>
          <w:sz w:val="32"/>
          <w:szCs w:val="32"/>
          <w:lang/>
        </w:rPr>
        <w:t>）原告为自然人的，起诉状应载明姓名、性别、出生日期、民族、职业、工作单位、住所、联系方式、公民身份号码；（</w:t>
      </w:r>
      <w:r w:rsidRPr="00873B9D">
        <w:rPr>
          <w:rFonts w:ascii="仿宋" w:eastAsia="仿宋" w:hAnsi="仿宋" w:cs="宋体"/>
          <w:kern w:val="0"/>
          <w:sz w:val="32"/>
          <w:szCs w:val="32"/>
          <w:lang/>
        </w:rPr>
        <w:t>2</w:t>
      </w:r>
      <w:r w:rsidRPr="00873B9D">
        <w:rPr>
          <w:rFonts w:ascii="仿宋" w:eastAsia="仿宋" w:hAnsi="仿宋" w:cs="宋体"/>
          <w:kern w:val="0"/>
          <w:sz w:val="32"/>
          <w:szCs w:val="32"/>
          <w:lang/>
        </w:rPr>
        <w:t>）原告为法人或者其他组织的，起诉状应载明法人或者其他组织的名称、住所地，法定代表人或者主要负责人的姓名</w:t>
      </w:r>
      <w:r w:rsidRPr="00873B9D">
        <w:rPr>
          <w:rFonts w:ascii="仿宋" w:eastAsia="仿宋" w:hAnsi="仿宋" w:cs="宋体"/>
          <w:kern w:val="0"/>
          <w:sz w:val="32"/>
          <w:szCs w:val="32"/>
          <w:lang/>
        </w:rPr>
        <w:t>、职务、联系方式；（</w:t>
      </w:r>
      <w:r w:rsidRPr="00873B9D">
        <w:rPr>
          <w:rFonts w:ascii="仿宋" w:eastAsia="仿宋" w:hAnsi="仿宋" w:cs="宋体"/>
          <w:kern w:val="0"/>
          <w:sz w:val="32"/>
          <w:szCs w:val="32"/>
          <w:lang/>
        </w:rPr>
        <w:t>3</w:t>
      </w:r>
      <w:r w:rsidRPr="00873B9D">
        <w:rPr>
          <w:rFonts w:ascii="仿宋" w:eastAsia="仿宋" w:hAnsi="仿宋" w:cs="宋体"/>
          <w:kern w:val="0"/>
          <w:sz w:val="32"/>
          <w:szCs w:val="32"/>
          <w:lang/>
        </w:rPr>
        <w:t>）第三人为自然人的，起诉状应载明姓名、性别、工作单位、住所等信息；（</w:t>
      </w:r>
      <w:r w:rsidRPr="00873B9D">
        <w:rPr>
          <w:rFonts w:ascii="仿宋" w:eastAsia="仿宋" w:hAnsi="仿宋" w:cs="宋体"/>
          <w:kern w:val="0"/>
          <w:sz w:val="32"/>
          <w:szCs w:val="32"/>
          <w:lang/>
        </w:rPr>
        <w:t>4</w:t>
      </w:r>
      <w:r w:rsidRPr="00873B9D">
        <w:rPr>
          <w:rFonts w:ascii="仿宋" w:eastAsia="仿宋" w:hAnsi="仿宋" w:cs="宋体"/>
          <w:kern w:val="0"/>
          <w:sz w:val="32"/>
          <w:szCs w:val="32"/>
          <w:lang/>
        </w:rPr>
        <w:t>）被告、第三人为法人或者其他组织的，起诉状应载明法人或者其他组织的名称、住所地等信息；（</w:t>
      </w:r>
      <w:r w:rsidRPr="00873B9D">
        <w:rPr>
          <w:rFonts w:ascii="仿宋" w:eastAsia="仿宋" w:hAnsi="仿宋" w:cs="宋体"/>
          <w:kern w:val="0"/>
          <w:sz w:val="32"/>
          <w:szCs w:val="32"/>
          <w:lang/>
        </w:rPr>
        <w:t>5</w:t>
      </w:r>
      <w:r w:rsidRPr="00873B9D">
        <w:rPr>
          <w:rFonts w:ascii="仿宋" w:eastAsia="仿宋" w:hAnsi="仿宋" w:cs="宋体"/>
          <w:kern w:val="0"/>
          <w:sz w:val="32"/>
          <w:szCs w:val="32"/>
          <w:lang/>
        </w:rPr>
        <w:t>）起诉状应有明确具体的诉讼请求，诉讼标的不明确、诉讼标的额无法确定的，视为诉讼请求不够具体；诉讼请求中主张财产性诉求的，应明确诉求金额。如主张利息的，应明确计算利息的本金金额、利息计算方法、利息计算期间、利息总金额；（</w:t>
      </w:r>
      <w:r w:rsidRPr="00873B9D">
        <w:rPr>
          <w:rFonts w:ascii="仿宋" w:eastAsia="仿宋" w:hAnsi="仿宋" w:cs="宋体"/>
          <w:kern w:val="0"/>
          <w:sz w:val="32"/>
          <w:szCs w:val="32"/>
          <w:lang/>
        </w:rPr>
        <w:t>6</w:t>
      </w:r>
      <w:r w:rsidRPr="00873B9D">
        <w:rPr>
          <w:rFonts w:ascii="仿宋" w:eastAsia="仿宋" w:hAnsi="仿宋" w:cs="宋体"/>
          <w:kern w:val="0"/>
          <w:sz w:val="32"/>
          <w:szCs w:val="32"/>
          <w:lang/>
        </w:rPr>
        <w:t>）起诉状应有具体事实与理由，不得出现违反法律和政策的内容或者含有谩骂和人身攻击的言辞；（</w:t>
      </w:r>
      <w:r w:rsidRPr="00873B9D">
        <w:rPr>
          <w:rFonts w:ascii="仿宋" w:eastAsia="仿宋" w:hAnsi="仿宋" w:cs="宋体"/>
          <w:kern w:val="0"/>
          <w:sz w:val="32"/>
          <w:szCs w:val="32"/>
          <w:lang/>
        </w:rPr>
        <w:t>7</w:t>
      </w:r>
      <w:r w:rsidRPr="00873B9D">
        <w:rPr>
          <w:rFonts w:ascii="仿宋" w:eastAsia="仿宋" w:hAnsi="仿宋" w:cs="宋体"/>
          <w:kern w:val="0"/>
          <w:sz w:val="32"/>
          <w:szCs w:val="32"/>
          <w:lang/>
        </w:rPr>
        <w:t>）起诉状应载明证据和</w:t>
      </w:r>
      <w:r w:rsidRPr="00873B9D">
        <w:rPr>
          <w:rFonts w:ascii="仿宋" w:eastAsia="仿宋" w:hAnsi="仿宋" w:cs="宋体"/>
          <w:kern w:val="0"/>
          <w:sz w:val="32"/>
          <w:szCs w:val="32"/>
          <w:lang/>
        </w:rPr>
        <w:t>证据来源；有证人的，载明证人的姓名、住所、联系方式等；（</w:t>
      </w:r>
      <w:r w:rsidRPr="00873B9D">
        <w:rPr>
          <w:rFonts w:ascii="仿宋" w:eastAsia="仿宋" w:hAnsi="仿宋" w:cs="宋体"/>
          <w:kern w:val="0"/>
          <w:sz w:val="32"/>
          <w:szCs w:val="32"/>
          <w:lang/>
        </w:rPr>
        <w:t>8</w:t>
      </w:r>
      <w:r w:rsidRPr="00873B9D">
        <w:rPr>
          <w:rFonts w:ascii="仿宋" w:eastAsia="仿宋" w:hAnsi="仿宋" w:cs="宋体"/>
          <w:kern w:val="0"/>
          <w:sz w:val="32"/>
          <w:szCs w:val="32"/>
          <w:lang/>
        </w:rPr>
        <w:t>）起诉状落款处应有原告签章，原告为自然人的，应由原告本人签名（不会手写签名的可按捺指印代替），原告为法人或者其他组织的，应加盖公章；（</w:t>
      </w:r>
      <w:r w:rsidRPr="00873B9D">
        <w:rPr>
          <w:rFonts w:ascii="仿宋" w:eastAsia="仿宋" w:hAnsi="仿宋" w:cs="宋体"/>
          <w:kern w:val="0"/>
          <w:sz w:val="32"/>
          <w:szCs w:val="32"/>
          <w:lang/>
        </w:rPr>
        <w:t>9</w:t>
      </w:r>
      <w:r w:rsidRPr="00873B9D">
        <w:rPr>
          <w:rFonts w:ascii="仿宋" w:eastAsia="仿宋" w:hAnsi="仿宋" w:cs="宋体"/>
          <w:kern w:val="0"/>
          <w:sz w:val="32"/>
          <w:szCs w:val="32"/>
          <w:lang/>
        </w:rPr>
        <w:t>）起诉状应注明起诉日期，</w:t>
      </w:r>
      <w:r w:rsidRPr="00873B9D">
        <w:rPr>
          <w:rFonts w:ascii="仿宋" w:eastAsia="仿宋" w:hAnsi="仿宋" w:cs="宋体"/>
          <w:kern w:val="0"/>
          <w:sz w:val="32"/>
          <w:szCs w:val="32"/>
          <w:lang/>
        </w:rPr>
        <w:lastRenderedPageBreak/>
        <w:t>该起诉日期与实际起诉日期不一致的，以接收起诉材料凭证上的签收日期为起诉日期。</w:t>
      </w:r>
    </w:p>
    <w:p w:rsidR="00033F7F" w:rsidRPr="00873B9D" w:rsidRDefault="00873B9D">
      <w:pPr>
        <w:pStyle w:val="a3"/>
        <w:widowControl/>
        <w:spacing w:beforeAutospacing="0" w:afterAutospacing="0"/>
        <w:jc w:val="both"/>
        <w:rPr>
          <w:rFonts w:ascii="仿宋" w:eastAsia="仿宋" w:hAnsi="仿宋" w:cs="system-ui" w:hint="eastAsia"/>
          <w:color w:val="222222"/>
          <w:spacing w:val="8"/>
          <w:sz w:val="32"/>
          <w:szCs w:val="32"/>
        </w:rPr>
      </w:pPr>
      <w:r w:rsidRPr="00873B9D">
        <w:rPr>
          <w:rStyle w:val="a4"/>
          <w:rFonts w:ascii="仿宋" w:eastAsia="仿宋" w:hAnsi="仿宋" w:cs="system-ui"/>
          <w:color w:val="222222"/>
          <w:spacing w:val="8"/>
          <w:sz w:val="32"/>
          <w:szCs w:val="32"/>
        </w:rPr>
        <w:t>3.</w:t>
      </w:r>
      <w:r w:rsidRPr="00873B9D">
        <w:rPr>
          <w:rStyle w:val="a4"/>
          <w:rFonts w:ascii="仿宋" w:eastAsia="仿宋" w:hAnsi="仿宋" w:cs="system-ui"/>
          <w:color w:val="222222"/>
          <w:spacing w:val="8"/>
          <w:sz w:val="32"/>
          <w:szCs w:val="32"/>
        </w:rPr>
        <w:t>原告主体资格要点提示</w:t>
      </w:r>
    </w:p>
    <w:p w:rsidR="00033F7F" w:rsidRPr="00873B9D" w:rsidRDefault="00873B9D">
      <w:pPr>
        <w:widowControl/>
        <w:jc w:val="left"/>
        <w:rPr>
          <w:rFonts w:ascii="仿宋" w:eastAsia="仿宋" w:hAnsi="仿宋"/>
          <w:sz w:val="32"/>
          <w:szCs w:val="32"/>
        </w:rPr>
      </w:pPr>
      <w:r w:rsidRPr="00873B9D">
        <w:rPr>
          <w:rFonts w:ascii="仿宋" w:eastAsia="仿宋" w:hAnsi="仿宋" w:cs="宋体"/>
          <w:kern w:val="0"/>
          <w:sz w:val="32"/>
          <w:szCs w:val="32"/>
          <w:lang/>
        </w:rPr>
        <w:t>（</w:t>
      </w:r>
      <w:r w:rsidRPr="00873B9D">
        <w:rPr>
          <w:rFonts w:ascii="仿宋" w:eastAsia="仿宋" w:hAnsi="仿宋" w:cs="宋体"/>
          <w:kern w:val="0"/>
          <w:sz w:val="32"/>
          <w:szCs w:val="32"/>
          <w:lang/>
        </w:rPr>
        <w:t>1</w:t>
      </w:r>
      <w:r w:rsidRPr="00873B9D">
        <w:rPr>
          <w:rFonts w:ascii="仿宋" w:eastAsia="仿宋" w:hAnsi="仿宋" w:cs="宋体"/>
          <w:kern w:val="0"/>
          <w:sz w:val="32"/>
          <w:szCs w:val="32"/>
          <w:lang/>
        </w:rPr>
        <w:t>）提起行政诉讼的原告，应当是行政行为的相对人，或者与该行政行为有法律上利害关系的公民、法人和其他组织；（</w:t>
      </w:r>
      <w:r w:rsidRPr="00873B9D">
        <w:rPr>
          <w:rFonts w:ascii="仿宋" w:eastAsia="仿宋" w:hAnsi="仿宋" w:cs="宋体"/>
          <w:kern w:val="0"/>
          <w:sz w:val="32"/>
          <w:szCs w:val="32"/>
          <w:lang/>
        </w:rPr>
        <w:t>2</w:t>
      </w:r>
      <w:r w:rsidRPr="00873B9D">
        <w:rPr>
          <w:rFonts w:ascii="仿宋" w:eastAsia="仿宋" w:hAnsi="仿宋" w:cs="宋体"/>
          <w:kern w:val="0"/>
          <w:sz w:val="32"/>
          <w:szCs w:val="32"/>
          <w:lang/>
        </w:rPr>
        <w:t>）有权提起诉讼的公民死亡，其近亲属可以提起诉讼；（</w:t>
      </w:r>
      <w:r w:rsidRPr="00873B9D">
        <w:rPr>
          <w:rFonts w:ascii="仿宋" w:eastAsia="仿宋" w:hAnsi="仿宋" w:cs="宋体"/>
          <w:kern w:val="0"/>
          <w:sz w:val="32"/>
          <w:szCs w:val="32"/>
          <w:lang/>
        </w:rPr>
        <w:t>3</w:t>
      </w:r>
      <w:r w:rsidRPr="00873B9D">
        <w:rPr>
          <w:rFonts w:ascii="仿宋" w:eastAsia="仿宋" w:hAnsi="仿宋" w:cs="宋体"/>
          <w:kern w:val="0"/>
          <w:sz w:val="32"/>
          <w:szCs w:val="32"/>
          <w:lang/>
        </w:rPr>
        <w:t>）有权提起诉讼的法人或者其</w:t>
      </w:r>
      <w:r w:rsidRPr="00873B9D">
        <w:rPr>
          <w:rFonts w:ascii="仿宋" w:eastAsia="仿宋" w:hAnsi="仿宋" w:cs="宋体"/>
          <w:kern w:val="0"/>
          <w:sz w:val="32"/>
          <w:szCs w:val="32"/>
          <w:lang/>
        </w:rPr>
        <w:t>他组织终止，承受其权利的法人或者其他组织可以提起诉讼；（</w:t>
      </w:r>
      <w:r w:rsidRPr="00873B9D">
        <w:rPr>
          <w:rFonts w:ascii="仿宋" w:eastAsia="仿宋" w:hAnsi="仿宋" w:cs="宋体"/>
          <w:kern w:val="0"/>
          <w:sz w:val="32"/>
          <w:szCs w:val="32"/>
          <w:lang/>
        </w:rPr>
        <w:t>4</w:t>
      </w:r>
      <w:r w:rsidRPr="00873B9D">
        <w:rPr>
          <w:rFonts w:ascii="仿宋" w:eastAsia="仿宋" w:hAnsi="仿宋" w:cs="宋体"/>
          <w:kern w:val="0"/>
          <w:sz w:val="32"/>
          <w:szCs w:val="32"/>
          <w:lang/>
        </w:rPr>
        <w:t>）原告为自然人的，应提交居民身份证件复印件，如果原告委托律师作为诉讼代理人代为立案的，仅提交原告居民身份证复印件即可，无需提交原告居民身份证原件；（</w:t>
      </w:r>
      <w:r w:rsidRPr="00873B9D">
        <w:rPr>
          <w:rFonts w:ascii="仿宋" w:eastAsia="仿宋" w:hAnsi="仿宋" w:cs="宋体"/>
          <w:kern w:val="0"/>
          <w:sz w:val="32"/>
          <w:szCs w:val="32"/>
          <w:lang/>
        </w:rPr>
        <w:t>5</w:t>
      </w:r>
      <w:r w:rsidRPr="00873B9D">
        <w:rPr>
          <w:rFonts w:ascii="仿宋" w:eastAsia="仿宋" w:hAnsi="仿宋" w:cs="宋体"/>
          <w:kern w:val="0"/>
          <w:sz w:val="32"/>
          <w:szCs w:val="32"/>
          <w:lang/>
        </w:rPr>
        <w:t>）原告为法人或者其他组织的，应提交加盖公章的营业执照复印件或者组织机构代码证复印件、法定代表人或者主要负责人身份证明书、法定代表人或者主要负责人居民身份证复印件。</w:t>
      </w:r>
    </w:p>
    <w:p w:rsidR="00033F7F" w:rsidRPr="00873B9D" w:rsidRDefault="00873B9D">
      <w:pPr>
        <w:pStyle w:val="a3"/>
        <w:widowControl/>
        <w:spacing w:beforeAutospacing="0" w:afterAutospacing="0"/>
        <w:jc w:val="both"/>
        <w:rPr>
          <w:rFonts w:ascii="仿宋" w:eastAsia="仿宋" w:hAnsi="仿宋" w:cs="system-ui" w:hint="eastAsia"/>
          <w:color w:val="222222"/>
          <w:spacing w:val="8"/>
          <w:sz w:val="32"/>
          <w:szCs w:val="32"/>
        </w:rPr>
      </w:pPr>
      <w:r w:rsidRPr="00873B9D">
        <w:rPr>
          <w:rStyle w:val="a4"/>
          <w:rFonts w:ascii="仿宋" w:eastAsia="仿宋" w:hAnsi="仿宋" w:cs="system-ui"/>
          <w:color w:val="222222"/>
          <w:spacing w:val="8"/>
          <w:sz w:val="32"/>
          <w:szCs w:val="32"/>
        </w:rPr>
        <w:t>4.</w:t>
      </w:r>
      <w:r w:rsidRPr="00873B9D">
        <w:rPr>
          <w:rStyle w:val="a4"/>
          <w:rFonts w:ascii="仿宋" w:eastAsia="仿宋" w:hAnsi="仿宋" w:cs="system-ui"/>
          <w:color w:val="222222"/>
          <w:spacing w:val="8"/>
          <w:sz w:val="32"/>
          <w:szCs w:val="32"/>
        </w:rPr>
        <w:t>被告主体资格要点提示</w:t>
      </w:r>
    </w:p>
    <w:p w:rsidR="00033F7F" w:rsidRPr="00873B9D" w:rsidRDefault="00873B9D">
      <w:pPr>
        <w:widowControl/>
        <w:jc w:val="left"/>
        <w:rPr>
          <w:rFonts w:ascii="仿宋" w:eastAsia="仿宋" w:hAnsi="仿宋"/>
          <w:sz w:val="32"/>
          <w:szCs w:val="32"/>
        </w:rPr>
      </w:pPr>
      <w:r w:rsidRPr="00873B9D">
        <w:rPr>
          <w:rFonts w:ascii="仿宋" w:eastAsia="仿宋" w:hAnsi="仿宋" w:cs="宋体"/>
          <w:kern w:val="0"/>
          <w:sz w:val="32"/>
          <w:szCs w:val="32"/>
          <w:lang/>
        </w:rPr>
        <w:t>（</w:t>
      </w:r>
      <w:r w:rsidRPr="00873B9D">
        <w:rPr>
          <w:rFonts w:ascii="仿宋" w:eastAsia="仿宋" w:hAnsi="仿宋" w:cs="宋体"/>
          <w:kern w:val="0"/>
          <w:sz w:val="32"/>
          <w:szCs w:val="32"/>
          <w:lang/>
        </w:rPr>
        <w:t>1</w:t>
      </w:r>
      <w:r w:rsidRPr="00873B9D">
        <w:rPr>
          <w:rFonts w:ascii="仿宋" w:eastAsia="仿宋" w:hAnsi="仿宋" w:cs="宋体"/>
          <w:kern w:val="0"/>
          <w:sz w:val="32"/>
          <w:szCs w:val="32"/>
          <w:lang/>
        </w:rPr>
        <w:t>）作出行政行为的行政机关是被告；（</w:t>
      </w:r>
      <w:r w:rsidRPr="00873B9D">
        <w:rPr>
          <w:rFonts w:ascii="仿宋" w:eastAsia="仿宋" w:hAnsi="仿宋" w:cs="宋体"/>
          <w:kern w:val="0"/>
          <w:sz w:val="32"/>
          <w:szCs w:val="32"/>
          <w:lang/>
        </w:rPr>
        <w:t>2</w:t>
      </w:r>
      <w:r w:rsidRPr="00873B9D">
        <w:rPr>
          <w:rFonts w:ascii="仿宋" w:eastAsia="仿宋" w:hAnsi="仿宋" w:cs="宋体"/>
          <w:kern w:val="0"/>
          <w:sz w:val="32"/>
          <w:szCs w:val="32"/>
          <w:lang/>
        </w:rPr>
        <w:t>）经复议的案件，复议机关决定维持原行政行为的，作出原行政行为的行政机关和</w:t>
      </w:r>
      <w:r w:rsidRPr="00873B9D">
        <w:rPr>
          <w:rFonts w:ascii="仿宋" w:eastAsia="仿宋" w:hAnsi="仿宋" w:cs="宋体"/>
          <w:kern w:val="0"/>
          <w:sz w:val="32"/>
          <w:szCs w:val="32"/>
          <w:lang/>
        </w:rPr>
        <w:t>复议机关是共同被告；复议机关改变原行政行为的，复议机关是被告；（</w:t>
      </w:r>
      <w:r w:rsidRPr="00873B9D">
        <w:rPr>
          <w:rFonts w:ascii="仿宋" w:eastAsia="仿宋" w:hAnsi="仿宋" w:cs="宋体"/>
          <w:kern w:val="0"/>
          <w:sz w:val="32"/>
          <w:szCs w:val="32"/>
          <w:lang/>
        </w:rPr>
        <w:t>3</w:t>
      </w:r>
      <w:r w:rsidRPr="00873B9D">
        <w:rPr>
          <w:rFonts w:ascii="仿宋" w:eastAsia="仿宋" w:hAnsi="仿宋" w:cs="宋体"/>
          <w:kern w:val="0"/>
          <w:sz w:val="32"/>
          <w:szCs w:val="32"/>
          <w:lang/>
        </w:rPr>
        <w:t>）复议机关在法定期限内未作出复议决定，公民、法人或者其他组织起诉原行政行为的，作出原行政行为的行政机关是被告；起诉复议机关不作为的，复议机关是被告；（</w:t>
      </w:r>
      <w:r w:rsidRPr="00873B9D">
        <w:rPr>
          <w:rFonts w:ascii="仿宋" w:eastAsia="仿宋" w:hAnsi="仿宋" w:cs="宋体"/>
          <w:kern w:val="0"/>
          <w:sz w:val="32"/>
          <w:szCs w:val="32"/>
          <w:lang/>
        </w:rPr>
        <w:t>4</w:t>
      </w:r>
      <w:r w:rsidRPr="00873B9D">
        <w:rPr>
          <w:rFonts w:ascii="仿宋" w:eastAsia="仿宋" w:hAnsi="仿宋" w:cs="宋体"/>
          <w:kern w:val="0"/>
          <w:sz w:val="32"/>
          <w:szCs w:val="32"/>
          <w:lang/>
        </w:rPr>
        <w:t>）两个以上行政机关作出同一行政行为的，</w:t>
      </w:r>
      <w:r w:rsidRPr="00873B9D">
        <w:rPr>
          <w:rFonts w:ascii="仿宋" w:eastAsia="仿宋" w:hAnsi="仿宋" w:cs="宋体"/>
          <w:kern w:val="0"/>
          <w:sz w:val="32"/>
          <w:szCs w:val="32"/>
          <w:lang/>
        </w:rPr>
        <w:lastRenderedPageBreak/>
        <w:t>共同作出行政行为的行政机关是共同被告；（</w:t>
      </w:r>
      <w:r w:rsidRPr="00873B9D">
        <w:rPr>
          <w:rFonts w:ascii="仿宋" w:eastAsia="仿宋" w:hAnsi="仿宋" w:cs="宋体"/>
          <w:kern w:val="0"/>
          <w:sz w:val="32"/>
          <w:szCs w:val="32"/>
          <w:lang/>
        </w:rPr>
        <w:t>5</w:t>
      </w:r>
      <w:r w:rsidRPr="00873B9D">
        <w:rPr>
          <w:rFonts w:ascii="仿宋" w:eastAsia="仿宋" w:hAnsi="仿宋" w:cs="宋体"/>
          <w:kern w:val="0"/>
          <w:sz w:val="32"/>
          <w:szCs w:val="32"/>
          <w:lang/>
        </w:rPr>
        <w:t>）行政机关委托的组织所作的行政行为，委托的行政机关是被告；（</w:t>
      </w:r>
      <w:r w:rsidRPr="00873B9D">
        <w:rPr>
          <w:rFonts w:ascii="仿宋" w:eastAsia="仿宋" w:hAnsi="仿宋" w:cs="宋体"/>
          <w:kern w:val="0"/>
          <w:sz w:val="32"/>
          <w:szCs w:val="32"/>
          <w:lang/>
        </w:rPr>
        <w:t>6</w:t>
      </w:r>
      <w:r w:rsidRPr="00873B9D">
        <w:rPr>
          <w:rFonts w:ascii="仿宋" w:eastAsia="仿宋" w:hAnsi="仿宋" w:cs="宋体"/>
          <w:kern w:val="0"/>
          <w:sz w:val="32"/>
          <w:szCs w:val="32"/>
          <w:lang/>
        </w:rPr>
        <w:t>）行政机关被撤销或者职能变更的，继续行使其职权的行政机关是被告。</w:t>
      </w:r>
    </w:p>
    <w:p w:rsidR="00033F7F" w:rsidRPr="00873B9D" w:rsidRDefault="00033F7F">
      <w:pPr>
        <w:rPr>
          <w:rFonts w:ascii="仿宋" w:eastAsia="仿宋" w:hAnsi="仿宋"/>
          <w:sz w:val="32"/>
          <w:szCs w:val="32"/>
        </w:rPr>
      </w:pPr>
      <w:bookmarkStart w:id="0" w:name="_GoBack"/>
      <w:bookmarkEnd w:id="0"/>
    </w:p>
    <w:sectPr w:rsidR="00033F7F" w:rsidRPr="00873B9D" w:rsidSect="00033F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B9D" w:rsidRDefault="00873B9D" w:rsidP="00873B9D">
      <w:r>
        <w:separator/>
      </w:r>
    </w:p>
  </w:endnote>
  <w:endnote w:type="continuationSeparator" w:id="1">
    <w:p w:rsidR="00873B9D" w:rsidRDefault="00873B9D" w:rsidP="00873B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system-ui">
    <w:altName w:val="Times New Roman"/>
    <w:charset w:val="00"/>
    <w:family w:val="auto"/>
    <w:pitch w:val="default"/>
    <w:sig w:usb0="00000000" w:usb1="00000000" w:usb2="00000000" w:usb3="00000000" w:csb0="0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B9D" w:rsidRDefault="00873B9D" w:rsidP="00873B9D">
      <w:r>
        <w:separator/>
      </w:r>
    </w:p>
  </w:footnote>
  <w:footnote w:type="continuationSeparator" w:id="1">
    <w:p w:rsidR="00873B9D" w:rsidRDefault="00873B9D" w:rsidP="00873B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adjustLineHeightInTable/>
    <w:doNotBreakWrappedTables/>
    <w:doNotWrapTextWithPunct/>
    <w:doNotUseEastAsianBreakRules/>
    <w:useFELayout/>
  </w:compat>
  <w:rsids>
    <w:rsidRoot w:val="00033F7F"/>
    <w:rsid w:val="00033F7F"/>
    <w:rsid w:val="00873B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3F7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33F7F"/>
    <w:pPr>
      <w:spacing w:beforeAutospacing="1" w:afterAutospacing="1"/>
      <w:jc w:val="left"/>
    </w:pPr>
    <w:rPr>
      <w:rFonts w:cs="Times New Roman"/>
      <w:kern w:val="0"/>
      <w:sz w:val="24"/>
    </w:rPr>
  </w:style>
  <w:style w:type="character" w:styleId="a4">
    <w:name w:val="Strong"/>
    <w:basedOn w:val="a0"/>
    <w:qFormat/>
    <w:rsid w:val="00033F7F"/>
    <w:rPr>
      <w:b/>
    </w:rPr>
  </w:style>
  <w:style w:type="paragraph" w:styleId="a5">
    <w:name w:val="Balloon Text"/>
    <w:basedOn w:val="a"/>
    <w:link w:val="Char"/>
    <w:rsid w:val="00873B9D"/>
    <w:rPr>
      <w:sz w:val="18"/>
      <w:szCs w:val="18"/>
    </w:rPr>
  </w:style>
  <w:style w:type="character" w:customStyle="1" w:styleId="Char">
    <w:name w:val="批注框文本 Char"/>
    <w:basedOn w:val="a0"/>
    <w:link w:val="a5"/>
    <w:rsid w:val="00873B9D"/>
    <w:rPr>
      <w:rFonts w:asciiTheme="minorHAnsi" w:eastAsiaTheme="minorEastAsia" w:hAnsiTheme="minorHAnsi" w:cstheme="minorBidi"/>
      <w:kern w:val="2"/>
      <w:sz w:val="18"/>
      <w:szCs w:val="18"/>
    </w:rPr>
  </w:style>
  <w:style w:type="paragraph" w:styleId="a6">
    <w:name w:val="header"/>
    <w:basedOn w:val="a"/>
    <w:link w:val="Char0"/>
    <w:rsid w:val="00873B9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873B9D"/>
    <w:rPr>
      <w:rFonts w:asciiTheme="minorHAnsi" w:eastAsiaTheme="minorEastAsia" w:hAnsiTheme="minorHAnsi" w:cstheme="minorBidi"/>
      <w:kern w:val="2"/>
      <w:sz w:val="18"/>
      <w:szCs w:val="18"/>
    </w:rPr>
  </w:style>
  <w:style w:type="paragraph" w:styleId="a7">
    <w:name w:val="footer"/>
    <w:basedOn w:val="a"/>
    <w:link w:val="Char1"/>
    <w:rsid w:val="00873B9D"/>
    <w:pPr>
      <w:tabs>
        <w:tab w:val="center" w:pos="4153"/>
        <w:tab w:val="right" w:pos="8306"/>
      </w:tabs>
      <w:snapToGrid w:val="0"/>
      <w:jc w:val="left"/>
    </w:pPr>
    <w:rPr>
      <w:sz w:val="18"/>
      <w:szCs w:val="18"/>
    </w:rPr>
  </w:style>
  <w:style w:type="character" w:customStyle="1" w:styleId="Char1">
    <w:name w:val="页脚 Char"/>
    <w:basedOn w:val="a0"/>
    <w:link w:val="a7"/>
    <w:rsid w:val="00873B9D"/>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2628</Words>
  <Characters>44</Characters>
  <Application>Microsoft Office Word</Application>
  <DocSecurity>0</DocSecurity>
  <Lines>1</Lines>
  <Paragraphs>5</Paragraphs>
  <ScaleCrop>false</ScaleCrop>
  <Company>Www.SangSan.Cn</Company>
  <LinksUpToDate>false</LinksUpToDate>
  <CharactersWithSpaces>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iPhone</dc:creator>
  <cp:lastModifiedBy>桑三博客</cp:lastModifiedBy>
  <cp:revision>1</cp:revision>
  <dcterms:created xsi:type="dcterms:W3CDTF">2022-11-25T15:09:00Z</dcterms:created>
  <dcterms:modified xsi:type="dcterms:W3CDTF">2022-11-25T07:22:00Z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2052-11.31.0</vt:lpwstr>
  </property>
  <property fmtid="{D5CDD505-2E9C-101B-9397-08002B2CF9AE}" pid="3" name="ICV">
    <vt:lpwstr>15B0FD2DBC1D586E1C6A8063654EFD11</vt:lpwstr>
  </property>
</Properties>
</file>